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Pr="00D41C0C" w:rsidRDefault="00BD455B" w:rsidP="006816EC">
            <w:pPr>
              <w:rPr>
                <w:b/>
                <w:bCs/>
              </w:rPr>
            </w:pPr>
            <w:r>
              <w:rPr>
                <w:rFonts w:ascii="David" w:hAnsi="David"/>
                <w:b/>
                <w:bCs/>
                <w:rtl/>
              </w:rPr>
              <w:t xml:space="preserve">בפני </w:t>
            </w:r>
            <w:r>
              <w:rPr>
                <w:rFonts w:ascii="David" w:hAnsi="David" w:hint="cs"/>
                <w:b/>
                <w:bCs/>
                <w:rtl/>
              </w:rPr>
              <w:t xml:space="preserve">כב' </w:t>
            </w:r>
            <w:r w:rsidR="005B15B2">
              <w:rPr>
                <w:rFonts w:ascii="David" w:hAnsi="David"/>
                <w:b/>
                <w:bCs/>
                <w:rtl/>
              </w:rPr>
              <w:t>השופט הבכיר, רמזי חדיד</w:t>
            </w:r>
          </w:p>
        </w:tc>
      </w:tr>
      <w:tr w:rsidR="006816EC" w:rsidTr="006816EC">
        <w:trPr>
          <w:jc w:val="center"/>
        </w:trPr>
        <w:tc>
          <w:tcPr>
            <w:tcW w:w="3249" w:type="dxa"/>
            <w:gridSpan w:val="2"/>
          </w:tcPr>
          <w:p w:rsidR="006816EC" w:rsidRPr="00EB12F1"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910151" w:rsidRPr="00EB12F1" w:rsidRDefault="00C82C24" w:rsidP="00EB12F1">
                <w:pPr>
                  <w:rPr>
                    <w:rFonts w:ascii="Arial (W1)" w:hAnsi="Arial (W1)"/>
                    <w:b/>
                    <w:bCs/>
                    <w:noProof w:val="0"/>
                    <w:sz w:val="28"/>
                    <w:szCs w:val="28"/>
                  </w:rPr>
                </w:pPr>
                <w:r w:rsidRPr="00EB12F1">
                  <w:rPr>
                    <w:rFonts w:hint="cs"/>
                    <w:b/>
                    <w:bCs/>
                    <w:noProof w:val="0"/>
                    <w:sz w:val="28"/>
                    <w:rtl/>
                  </w:rPr>
                  <w:t>תובע</w:t>
                </w:r>
              </w:p>
            </w:sdtContent>
          </w:sdt>
        </w:tc>
        <w:tc>
          <w:tcPr>
            <w:tcW w:w="5571" w:type="dxa"/>
          </w:tcPr>
          <w:p w:rsidR="006816EC" w:rsidRPr="00EB12F1" w:rsidRDefault="006816EC">
            <w:pPr>
              <w:rPr>
                <w:rFonts w:ascii="Arial (W1)" w:hAnsi="Arial (W1)"/>
                <w:b/>
                <w:bCs/>
                <w:noProof w:val="0"/>
                <w:sz w:val="28"/>
                <w:szCs w:val="28"/>
                <w:rtl/>
              </w:rPr>
            </w:pPr>
          </w:p>
          <w:p w:rsidR="006816EC" w:rsidRPr="00EB12F1" w:rsidRDefault="002A4602">
            <w:pPr>
              <w:rPr>
                <w:rFonts w:ascii="Arial (W1)" w:hAnsi="Arial (W1)"/>
                <w:b/>
                <w:bCs/>
                <w:noProof w:val="0"/>
                <w:sz w:val="28"/>
                <w:szCs w:val="28"/>
              </w:rPr>
            </w:pPr>
            <w:sdt>
              <w:sdtPr>
                <w:rPr>
                  <w:rFonts w:hint="cs"/>
                  <w:b/>
                  <w:bCs/>
                  <w:rtl/>
                </w:rPr>
                <w:alias w:val="1478"/>
                <w:tag w:val="1478"/>
                <w:id w:val="160126198"/>
                <w:text w:multiLine="1"/>
              </w:sdtPr>
              <w:sdtEndPr/>
              <w:sdtContent>
                <w:r w:rsidR="00BD455B" w:rsidRPr="00EB12F1">
                  <w:rPr>
                    <w:rFonts w:hint="cs"/>
                    <w:b/>
                    <w:bCs/>
                    <w:noProof w:val="0"/>
                    <w:sz w:val="28"/>
                    <w:rtl/>
                  </w:rPr>
                  <w:t>בנימין שריג</w:t>
                </w:r>
                <w:r w:rsidR="00EB12F1" w:rsidRPr="00EB12F1">
                  <w:rPr>
                    <w:b/>
                    <w:bCs/>
                    <w:rtl/>
                  </w:rPr>
                  <w:br/>
                </w:r>
                <w:r w:rsidR="00EB12F1" w:rsidRPr="00EB12F1">
                  <w:rPr>
                    <w:rFonts w:hint="cs"/>
                    <w:b/>
                    <w:bCs/>
                    <w:rtl/>
                  </w:rPr>
                  <w:t>באמצעות ב"כ י. פלק</w:t>
                </w:r>
              </w:sdtContent>
            </w:sdt>
          </w:p>
        </w:tc>
      </w:tr>
      <w:tr w:rsidR="006816EC" w:rsidTr="006816EC">
        <w:trPr>
          <w:jc w:val="center"/>
        </w:trPr>
        <w:tc>
          <w:tcPr>
            <w:tcW w:w="8820" w:type="dxa"/>
            <w:gridSpan w:val="3"/>
          </w:tcPr>
          <w:p w:rsidR="006816EC" w:rsidRPr="00EB12F1" w:rsidRDefault="006816EC">
            <w:pPr>
              <w:rPr>
                <w:rFonts w:ascii="Arial (W1)" w:hAnsi="Arial (W1)"/>
                <w:b/>
                <w:bCs/>
                <w:noProof w:val="0"/>
                <w:sz w:val="28"/>
                <w:szCs w:val="28"/>
                <w:rtl/>
              </w:rPr>
            </w:pPr>
          </w:p>
          <w:p w:rsidR="006816EC" w:rsidRPr="00EB12F1" w:rsidRDefault="006816EC">
            <w:pPr>
              <w:jc w:val="center"/>
              <w:rPr>
                <w:b/>
                <w:bCs/>
                <w:noProof w:val="0"/>
                <w:sz w:val="28"/>
                <w:rtl/>
              </w:rPr>
            </w:pPr>
            <w:r w:rsidRPr="00EB12F1">
              <w:rPr>
                <w:rFonts w:hint="cs"/>
                <w:b/>
                <w:bCs/>
                <w:noProof w:val="0"/>
                <w:sz w:val="28"/>
                <w:rtl/>
              </w:rPr>
              <w:t>נגד</w:t>
            </w:r>
          </w:p>
          <w:p w:rsidR="006816EC" w:rsidRPr="00EB12F1" w:rsidRDefault="006816EC">
            <w:pPr>
              <w:rPr>
                <w:rFonts w:ascii="Arial (W1)" w:hAnsi="Arial (W1)"/>
                <w:b/>
                <w:bCs/>
                <w:noProof w:val="0"/>
                <w:sz w:val="28"/>
                <w:szCs w:val="28"/>
              </w:rPr>
            </w:pPr>
          </w:p>
        </w:tc>
      </w:tr>
      <w:tr w:rsidR="006816EC" w:rsidTr="006816EC">
        <w:trPr>
          <w:jc w:val="center"/>
        </w:trPr>
        <w:tc>
          <w:tcPr>
            <w:tcW w:w="3249" w:type="dxa"/>
            <w:gridSpan w:val="2"/>
          </w:tcPr>
          <w:p w:rsidR="006816EC" w:rsidRPr="00EB12F1" w:rsidRDefault="002A4602" w:rsidP="00EB12F1">
            <w:pPr>
              <w:rPr>
                <w:rFonts w:ascii="Arial (W1)" w:hAnsi="Arial (W1)"/>
                <w:b/>
                <w:bCs/>
                <w:noProof w:val="0"/>
                <w:sz w:val="28"/>
                <w:szCs w:val="28"/>
              </w:rPr>
            </w:pPr>
            <w:sdt>
              <w:sdtPr>
                <w:rPr>
                  <w:rFonts w:hint="cs"/>
                  <w:b/>
                  <w:bCs/>
                  <w:rtl/>
                </w:rPr>
                <w:alias w:val="1184"/>
                <w:tag w:val="1184"/>
                <w:id w:val="-910234160"/>
                <w:text w:multiLine="1"/>
              </w:sdtPr>
              <w:sdtEndPr/>
              <w:sdtContent>
                <w:r w:rsidR="00BD455B" w:rsidRPr="00EB12F1">
                  <w:rPr>
                    <w:rFonts w:hint="cs"/>
                    <w:b/>
                    <w:bCs/>
                    <w:noProof w:val="0"/>
                    <w:sz w:val="28"/>
                    <w:rtl/>
                  </w:rPr>
                  <w:t>נתבע</w:t>
                </w:r>
              </w:sdtContent>
            </w:sdt>
          </w:p>
        </w:tc>
        <w:tc>
          <w:tcPr>
            <w:tcW w:w="5571" w:type="dxa"/>
          </w:tcPr>
          <w:p w:rsidR="006816EC" w:rsidRPr="00EB12F1" w:rsidRDefault="002A4602" w:rsidP="00EB12F1">
            <w:pPr>
              <w:rPr>
                <w:rFonts w:ascii="Arial (W1)" w:hAnsi="Arial (W1)"/>
                <w:b/>
                <w:bCs/>
                <w:noProof w:val="0"/>
                <w:sz w:val="28"/>
                <w:szCs w:val="28"/>
              </w:rPr>
            </w:pPr>
            <w:sdt>
              <w:sdtPr>
                <w:rPr>
                  <w:rFonts w:hint="cs"/>
                  <w:b/>
                  <w:bCs/>
                  <w:rtl/>
                </w:rPr>
                <w:alias w:val="1486"/>
                <w:tag w:val="1486"/>
                <w:id w:val="1487590763"/>
                <w:text w:multiLine="1"/>
              </w:sdtPr>
              <w:sdtEndPr/>
              <w:sdtContent>
                <w:r w:rsidR="00BD455B" w:rsidRPr="00EB12F1">
                  <w:rPr>
                    <w:rFonts w:hint="cs"/>
                    <w:b/>
                    <w:bCs/>
                    <w:noProof w:val="0"/>
                    <w:sz w:val="28"/>
                    <w:rtl/>
                  </w:rPr>
                  <w:t>בנק דיסקונט לישראל בע</w:t>
                </w:r>
                <w:r w:rsidR="00EB12F1" w:rsidRPr="00EB12F1">
                  <w:rPr>
                    <w:rFonts w:hint="cs"/>
                    <w:b/>
                    <w:bCs/>
                    <w:noProof w:val="0"/>
                    <w:sz w:val="28"/>
                    <w:rtl/>
                  </w:rPr>
                  <w:t>"</w:t>
                </w:r>
                <w:r w:rsidR="00BD455B" w:rsidRPr="00EB12F1">
                  <w:rPr>
                    <w:rFonts w:hint="cs"/>
                    <w:b/>
                    <w:bCs/>
                    <w:noProof w:val="0"/>
                    <w:sz w:val="28"/>
                    <w:rtl/>
                  </w:rPr>
                  <w:t>מ</w:t>
                </w:r>
                <w:r w:rsidR="00EB12F1" w:rsidRPr="00EB12F1">
                  <w:rPr>
                    <w:b/>
                    <w:bCs/>
                    <w:rtl/>
                  </w:rPr>
                  <w:br/>
                </w:r>
                <w:r w:rsidR="00EB12F1" w:rsidRPr="00EB12F1">
                  <w:rPr>
                    <w:rFonts w:hint="cs"/>
                    <w:b/>
                    <w:bCs/>
                    <w:rtl/>
                  </w:rPr>
                  <w:t>באמצעו</w:t>
                </w:r>
                <w:r w:rsidR="00EB12F1">
                  <w:rPr>
                    <w:rFonts w:hint="cs"/>
                    <w:b/>
                    <w:bCs/>
                    <w:rtl/>
                  </w:rPr>
                  <w:t>ת</w:t>
                </w:r>
                <w:r w:rsidR="00EB12F1" w:rsidRPr="00EB12F1">
                  <w:rPr>
                    <w:rFonts w:hint="cs"/>
                    <w:b/>
                    <w:bCs/>
                    <w:rtl/>
                  </w:rPr>
                  <w:t xml:space="preserve"> ב"כ עוה"ד משה קיירה</w:t>
                </w:r>
              </w:sdtContent>
            </w:sdt>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EB12F1">
      <w:pPr>
        <w:spacing w:line="360" w:lineRule="auto"/>
        <w:jc w:val="both"/>
        <w:rPr>
          <w:rFonts w:ascii="Arial" w:hAnsi="Arial"/>
          <w:b/>
          <w:bCs/>
          <w:noProof w:val="0"/>
          <w:u w:val="single"/>
          <w:rtl/>
        </w:rPr>
      </w:pPr>
      <w:r>
        <w:rPr>
          <w:rFonts w:ascii="Arial" w:hAnsi="Arial" w:hint="cs"/>
          <w:b/>
          <w:bCs/>
          <w:noProof w:val="0"/>
          <w:u w:val="single"/>
          <w:rtl/>
        </w:rPr>
        <w:t>מבוא ועובדות מוסכמות:</w:t>
      </w:r>
    </w:p>
    <w:p w:rsidR="00EB12F1" w:rsidRDefault="00EB12F1" w:rsidP="0004252C">
      <w:pPr>
        <w:jc w:val="both"/>
        <w:rPr>
          <w:rFonts w:ascii="Arial" w:hAnsi="Arial"/>
          <w:b/>
          <w:bCs/>
          <w:noProof w:val="0"/>
          <w:u w:val="single"/>
          <w:rtl/>
        </w:rPr>
      </w:pPr>
    </w:p>
    <w:p w:rsidR="00EB12F1" w:rsidRDefault="00EB12F1" w:rsidP="00EB12F1">
      <w:pPr>
        <w:pStyle w:val="ad"/>
        <w:numPr>
          <w:ilvl w:val="0"/>
          <w:numId w:val="1"/>
        </w:numPr>
        <w:spacing w:line="360" w:lineRule="auto"/>
        <w:jc w:val="both"/>
        <w:rPr>
          <w:rFonts w:ascii="Arial" w:hAnsi="Arial"/>
          <w:noProof w:val="0"/>
        </w:rPr>
      </w:pPr>
      <w:r>
        <w:rPr>
          <w:rFonts w:ascii="Arial" w:hAnsi="Arial" w:hint="cs"/>
          <w:noProof w:val="0"/>
          <w:rtl/>
        </w:rPr>
        <w:t xml:space="preserve">בפניי תביעה כספית בהליך של סדר דין מהיר, לפיה התובע מבקש לחייב את הנתבע בתשלום סך של 35,312 ₪. </w:t>
      </w:r>
    </w:p>
    <w:p w:rsidR="00EB12F1" w:rsidRDefault="00EB12F1" w:rsidP="0004252C">
      <w:pPr>
        <w:pStyle w:val="ad"/>
        <w:jc w:val="both"/>
        <w:rPr>
          <w:rFonts w:ascii="Arial" w:hAnsi="Arial"/>
          <w:noProof w:val="0"/>
        </w:rPr>
      </w:pPr>
    </w:p>
    <w:p w:rsidR="00EB12F1" w:rsidRDefault="00EB12F1" w:rsidP="00EB12F1">
      <w:pPr>
        <w:pStyle w:val="ad"/>
        <w:numPr>
          <w:ilvl w:val="0"/>
          <w:numId w:val="1"/>
        </w:numPr>
        <w:spacing w:line="360" w:lineRule="auto"/>
        <w:jc w:val="both"/>
        <w:rPr>
          <w:rFonts w:ascii="Arial" w:hAnsi="Arial"/>
          <w:noProof w:val="0"/>
        </w:rPr>
      </w:pPr>
      <w:r>
        <w:rPr>
          <w:rFonts w:ascii="Arial" w:hAnsi="Arial" w:hint="cs"/>
          <w:noProof w:val="0"/>
          <w:rtl/>
        </w:rPr>
        <w:t xml:space="preserve">התובע הוא אחיהן של גב' חוה לזר והמנוחה עדיה גרינשטיין ז"ל, ואשר הלכה לבית עולמה ביום 18.03.2020 </w:t>
      </w:r>
      <w:r w:rsidRPr="00EB12F1">
        <w:rPr>
          <w:rFonts w:ascii="Arial" w:hAnsi="Arial" w:hint="cs"/>
          <w:b/>
          <w:bCs/>
          <w:noProof w:val="0"/>
          <w:rtl/>
        </w:rPr>
        <w:t>(להלן: "חוה"</w:t>
      </w:r>
      <w:r>
        <w:rPr>
          <w:rFonts w:ascii="Arial" w:hAnsi="Arial" w:hint="cs"/>
          <w:noProof w:val="0"/>
          <w:rtl/>
        </w:rPr>
        <w:t xml:space="preserve"> ו-</w:t>
      </w:r>
      <w:r w:rsidRPr="00EB12F1">
        <w:rPr>
          <w:rFonts w:ascii="Arial" w:hAnsi="Arial" w:hint="cs"/>
          <w:b/>
          <w:bCs/>
          <w:noProof w:val="0"/>
          <w:rtl/>
        </w:rPr>
        <w:t xml:space="preserve">"עדיה" </w:t>
      </w:r>
      <w:r>
        <w:rPr>
          <w:rFonts w:ascii="Arial" w:hAnsi="Arial" w:hint="cs"/>
          <w:noProof w:val="0"/>
          <w:rtl/>
        </w:rPr>
        <w:t xml:space="preserve">בהתאם. שתיהן יחד תקראנה </w:t>
      </w:r>
      <w:r w:rsidRPr="00EB12F1">
        <w:rPr>
          <w:rFonts w:ascii="Arial" w:hAnsi="Arial" w:hint="cs"/>
          <w:b/>
          <w:bCs/>
          <w:noProof w:val="0"/>
          <w:rtl/>
        </w:rPr>
        <w:t>להלן: "אחיות התובע")</w:t>
      </w:r>
      <w:r>
        <w:rPr>
          <w:rFonts w:ascii="Arial" w:hAnsi="Arial" w:hint="cs"/>
          <w:noProof w:val="0"/>
          <w:rtl/>
        </w:rPr>
        <w:t>.</w:t>
      </w:r>
    </w:p>
    <w:p w:rsidR="00EB12F1" w:rsidRPr="00EB12F1" w:rsidRDefault="00EB12F1" w:rsidP="00EB12F1">
      <w:pPr>
        <w:pStyle w:val="ad"/>
        <w:rPr>
          <w:rFonts w:ascii="Arial" w:hAnsi="Arial"/>
          <w:noProof w:val="0"/>
          <w:rtl/>
        </w:rPr>
      </w:pPr>
    </w:p>
    <w:p w:rsidR="00EB12F1" w:rsidRDefault="00EB12F1" w:rsidP="00EB12F1">
      <w:pPr>
        <w:spacing w:line="360" w:lineRule="auto"/>
        <w:ind w:firstLine="720"/>
        <w:jc w:val="both"/>
        <w:rPr>
          <w:rFonts w:ascii="Arial" w:hAnsi="Arial"/>
          <w:noProof w:val="0"/>
          <w:rtl/>
        </w:rPr>
      </w:pPr>
      <w:r w:rsidRPr="00EB12F1">
        <w:rPr>
          <w:rFonts w:ascii="Arial" w:hAnsi="Arial" w:hint="cs"/>
          <w:noProof w:val="0"/>
          <w:rtl/>
        </w:rPr>
        <w:t xml:space="preserve">הנתבע הינו מוסד בנקאי ולו </w:t>
      </w:r>
      <w:r>
        <w:rPr>
          <w:rFonts w:ascii="Arial" w:hAnsi="Arial" w:hint="cs"/>
          <w:noProof w:val="0"/>
          <w:rtl/>
        </w:rPr>
        <w:t>סניפים בפריסה ארצית לרבות בעיר חיפה.</w:t>
      </w:r>
    </w:p>
    <w:p w:rsidR="00EB12F1" w:rsidRDefault="00EB12F1" w:rsidP="0004252C">
      <w:pPr>
        <w:ind w:firstLine="720"/>
        <w:jc w:val="both"/>
        <w:rPr>
          <w:rFonts w:ascii="Arial" w:hAnsi="Arial"/>
          <w:noProof w:val="0"/>
          <w:rtl/>
        </w:rPr>
      </w:pPr>
    </w:p>
    <w:p w:rsidR="00EB12F1" w:rsidRDefault="00EB12F1" w:rsidP="00EB12F1">
      <w:pPr>
        <w:pStyle w:val="ad"/>
        <w:numPr>
          <w:ilvl w:val="0"/>
          <w:numId w:val="1"/>
        </w:numPr>
        <w:spacing w:line="360" w:lineRule="auto"/>
        <w:jc w:val="both"/>
        <w:rPr>
          <w:rFonts w:ascii="Arial" w:hAnsi="Arial"/>
          <w:noProof w:val="0"/>
        </w:rPr>
      </w:pPr>
      <w:r>
        <w:rPr>
          <w:rFonts w:ascii="Arial" w:hAnsi="Arial" w:hint="cs"/>
          <w:noProof w:val="0"/>
          <w:rtl/>
        </w:rPr>
        <w:t xml:space="preserve">ביום 03.05.2013 מכרו התובע ואחיותיו את זכויותיהם בדירת מגורים ברח' כספרי בחיפה וב"כ התובע, עו"ד יהודה פלק, ייצג אותם בעסקה הנ"ל </w:t>
      </w:r>
      <w:r w:rsidRPr="00EB12F1">
        <w:rPr>
          <w:rFonts w:ascii="Arial" w:hAnsi="Arial" w:hint="cs"/>
          <w:b/>
          <w:bCs/>
          <w:noProof w:val="0"/>
          <w:rtl/>
        </w:rPr>
        <w:t>(להלן: "עסקת כספרי"</w:t>
      </w:r>
      <w:r>
        <w:rPr>
          <w:rFonts w:ascii="Arial" w:hAnsi="Arial" w:hint="cs"/>
          <w:noProof w:val="0"/>
          <w:rtl/>
        </w:rPr>
        <w:t xml:space="preserve"> ו-</w:t>
      </w:r>
      <w:r w:rsidRPr="00EB12F1">
        <w:rPr>
          <w:rFonts w:ascii="Arial" w:hAnsi="Arial" w:hint="cs"/>
          <w:b/>
          <w:bCs/>
          <w:noProof w:val="0"/>
          <w:rtl/>
        </w:rPr>
        <w:t xml:space="preserve">"הנאמן" </w:t>
      </w:r>
      <w:r>
        <w:rPr>
          <w:rFonts w:ascii="Arial" w:hAnsi="Arial" w:hint="cs"/>
          <w:noProof w:val="0"/>
          <w:rtl/>
        </w:rPr>
        <w:t xml:space="preserve">בהתאם). </w:t>
      </w:r>
    </w:p>
    <w:p w:rsidR="00EB12F1" w:rsidRDefault="00EB12F1" w:rsidP="0004252C">
      <w:pPr>
        <w:pStyle w:val="ad"/>
        <w:jc w:val="both"/>
        <w:rPr>
          <w:rFonts w:ascii="Arial" w:hAnsi="Arial"/>
          <w:noProof w:val="0"/>
        </w:rPr>
      </w:pPr>
    </w:p>
    <w:p w:rsidR="00200A23" w:rsidRPr="0004252C" w:rsidRDefault="00EB12F1" w:rsidP="00584B10">
      <w:pPr>
        <w:pStyle w:val="ad"/>
        <w:numPr>
          <w:ilvl w:val="0"/>
          <w:numId w:val="1"/>
        </w:numPr>
        <w:spacing w:line="360" w:lineRule="auto"/>
        <w:jc w:val="both"/>
        <w:rPr>
          <w:rFonts w:ascii="Arial" w:hAnsi="Arial"/>
          <w:noProof w:val="0"/>
          <w:rtl/>
        </w:rPr>
      </w:pPr>
      <w:r w:rsidRPr="0004252C">
        <w:rPr>
          <w:rFonts w:ascii="Arial" w:hAnsi="Arial" w:hint="cs"/>
          <w:noProof w:val="0"/>
          <w:rtl/>
        </w:rPr>
        <w:t xml:space="preserve">ביום 03.09.2013 פתח הנאמן אצל הנתבע חשבון נאמנות מספר 162306 </w:t>
      </w:r>
      <w:r w:rsidR="0004252C" w:rsidRPr="0004252C">
        <w:rPr>
          <w:rFonts w:ascii="Arial" w:hAnsi="Arial" w:hint="cs"/>
          <w:noProof w:val="0"/>
          <w:rtl/>
        </w:rPr>
        <w:t xml:space="preserve">בו נרשמו התובע ואחיותיו כנהנים, </w:t>
      </w:r>
      <w:r w:rsidRPr="0004252C">
        <w:rPr>
          <w:rFonts w:ascii="Arial" w:hAnsi="Arial" w:hint="cs"/>
          <w:noProof w:val="0"/>
          <w:rtl/>
        </w:rPr>
        <w:t xml:space="preserve">ולצורך כך הוא חתם על מסמכי פתיחת חשבון </w:t>
      </w:r>
      <w:r w:rsidRPr="0004252C">
        <w:rPr>
          <w:rFonts w:ascii="Arial" w:hAnsi="Arial" w:hint="cs"/>
          <w:b/>
          <w:bCs/>
          <w:noProof w:val="0"/>
          <w:rtl/>
        </w:rPr>
        <w:t>(להלן: "חשבון הנאמנות"</w:t>
      </w:r>
      <w:r w:rsidRPr="0004252C">
        <w:rPr>
          <w:rFonts w:ascii="Arial" w:hAnsi="Arial" w:hint="cs"/>
          <w:noProof w:val="0"/>
          <w:rtl/>
        </w:rPr>
        <w:t xml:space="preserve"> ו-</w:t>
      </w:r>
      <w:r w:rsidRPr="0004252C">
        <w:rPr>
          <w:rFonts w:ascii="Arial" w:hAnsi="Arial" w:hint="cs"/>
          <w:b/>
          <w:bCs/>
          <w:noProof w:val="0"/>
          <w:rtl/>
        </w:rPr>
        <w:t>"מסמכי פתיחת החשבון"</w:t>
      </w:r>
      <w:r w:rsidRPr="0004252C">
        <w:rPr>
          <w:rFonts w:ascii="Arial" w:hAnsi="Arial" w:hint="cs"/>
          <w:noProof w:val="0"/>
          <w:rtl/>
        </w:rPr>
        <w:t xml:space="preserve"> בהתאם)</w:t>
      </w:r>
      <w:r w:rsidR="00200A23" w:rsidRPr="0004252C">
        <w:rPr>
          <w:rFonts w:ascii="Arial" w:hAnsi="Arial" w:hint="cs"/>
          <w:noProof w:val="0"/>
          <w:rtl/>
        </w:rPr>
        <w:t>.</w:t>
      </w:r>
      <w:r w:rsidR="0004252C" w:rsidRPr="0004252C">
        <w:rPr>
          <w:rFonts w:ascii="Arial" w:hAnsi="Arial" w:hint="cs"/>
          <w:noProof w:val="0"/>
          <w:rtl/>
        </w:rPr>
        <w:t xml:space="preserve"> </w:t>
      </w:r>
      <w:r w:rsidR="00200A23" w:rsidRPr="0004252C">
        <w:rPr>
          <w:rFonts w:ascii="Arial" w:hAnsi="Arial" w:hint="cs"/>
          <w:noProof w:val="0"/>
          <w:rtl/>
        </w:rPr>
        <w:t xml:space="preserve">סמוך לאחר </w:t>
      </w:r>
      <w:r w:rsidR="0004252C">
        <w:rPr>
          <w:rFonts w:ascii="Arial" w:hAnsi="Arial" w:hint="cs"/>
          <w:noProof w:val="0"/>
          <w:rtl/>
        </w:rPr>
        <w:t>מכן</w:t>
      </w:r>
      <w:r w:rsidR="00200A23" w:rsidRPr="0004252C">
        <w:rPr>
          <w:rFonts w:ascii="Arial" w:hAnsi="Arial" w:hint="cs"/>
          <w:noProof w:val="0"/>
          <w:rtl/>
        </w:rPr>
        <w:t xml:space="preserve"> הפקיד הנאמן </w:t>
      </w:r>
      <w:r w:rsidR="0004252C">
        <w:rPr>
          <w:rFonts w:ascii="Arial" w:hAnsi="Arial" w:hint="cs"/>
          <w:noProof w:val="0"/>
          <w:rtl/>
        </w:rPr>
        <w:t xml:space="preserve">בחשבון הנאמנות </w:t>
      </w:r>
      <w:r w:rsidR="00200A23" w:rsidRPr="0004252C">
        <w:rPr>
          <w:rFonts w:ascii="Arial" w:hAnsi="Arial" w:hint="cs"/>
          <w:noProof w:val="0"/>
          <w:rtl/>
        </w:rPr>
        <w:t>סך של 225,00</w:t>
      </w:r>
      <w:r w:rsidR="00584B10">
        <w:rPr>
          <w:rFonts w:ascii="Arial" w:hAnsi="Arial" w:hint="cs"/>
          <w:noProof w:val="0"/>
          <w:rtl/>
        </w:rPr>
        <w:t>0 ₪ אשר הגיעו לידיו מעסקת כספרי ומהסכום הנ''ל שולם מס שבח עבור העסקה</w:t>
      </w:r>
      <w:r w:rsidR="00200A23" w:rsidRPr="0004252C">
        <w:rPr>
          <w:rFonts w:ascii="Arial" w:hAnsi="Arial" w:hint="cs"/>
          <w:noProof w:val="0"/>
          <w:rtl/>
        </w:rPr>
        <w:t xml:space="preserve"> </w:t>
      </w:r>
      <w:r w:rsidR="00200A23" w:rsidRPr="0004252C">
        <w:rPr>
          <w:rFonts w:ascii="Arial" w:hAnsi="Arial" w:hint="cs"/>
          <w:b/>
          <w:bCs/>
          <w:noProof w:val="0"/>
          <w:rtl/>
        </w:rPr>
        <w:t>(</w:t>
      </w:r>
      <w:r w:rsidR="00584B10">
        <w:rPr>
          <w:rFonts w:ascii="Arial" w:hAnsi="Arial" w:hint="cs"/>
          <w:noProof w:val="0"/>
          <w:rtl/>
        </w:rPr>
        <w:t xml:space="preserve">יתרת הסכום תיקרא </w:t>
      </w:r>
      <w:r w:rsidR="00200A23" w:rsidRPr="0004252C">
        <w:rPr>
          <w:rFonts w:ascii="Arial" w:hAnsi="Arial" w:hint="cs"/>
          <w:b/>
          <w:bCs/>
          <w:noProof w:val="0"/>
          <w:rtl/>
        </w:rPr>
        <w:t>להלן: "פיקדון כספרי")</w:t>
      </w:r>
      <w:r w:rsidR="00584B10">
        <w:rPr>
          <w:rFonts w:ascii="Arial" w:hAnsi="Arial" w:hint="cs"/>
          <w:noProof w:val="0"/>
          <w:rtl/>
        </w:rPr>
        <w:t xml:space="preserve">. בהמשך, ביום 04.08.2014, </w:t>
      </w:r>
      <w:r w:rsidR="00200A23" w:rsidRPr="0004252C">
        <w:rPr>
          <w:rFonts w:ascii="Arial" w:hAnsi="Arial" w:hint="cs"/>
          <w:noProof w:val="0"/>
          <w:rtl/>
        </w:rPr>
        <w:t xml:space="preserve">פנה הנאמן במכתב לנתבע </w:t>
      </w:r>
      <w:r w:rsidR="00584B10">
        <w:rPr>
          <w:rFonts w:ascii="Arial" w:hAnsi="Arial" w:hint="cs"/>
          <w:noProof w:val="0"/>
          <w:rtl/>
        </w:rPr>
        <w:t xml:space="preserve">בו נרשם </w:t>
      </w:r>
      <w:r w:rsidR="00584B10" w:rsidRPr="00584B10">
        <w:rPr>
          <w:rFonts w:ascii="Arial" w:hAnsi="Arial" w:hint="cs"/>
          <w:b/>
          <w:bCs/>
          <w:noProof w:val="0"/>
          <w:rtl/>
        </w:rPr>
        <w:t>''</w:t>
      </w:r>
      <w:r w:rsidR="00200A23" w:rsidRPr="00584B10">
        <w:rPr>
          <w:rFonts w:ascii="Arial" w:hAnsi="Arial" w:hint="cs"/>
          <w:b/>
          <w:bCs/>
          <w:noProof w:val="0"/>
          <w:rtl/>
        </w:rPr>
        <w:t>הנדון</w:t>
      </w:r>
      <w:r w:rsidR="00584B10" w:rsidRPr="00584B10">
        <w:rPr>
          <w:rFonts w:ascii="Arial" w:hAnsi="Arial" w:hint="cs"/>
          <w:b/>
          <w:bCs/>
          <w:noProof w:val="0"/>
          <w:rtl/>
        </w:rPr>
        <w:t>:</w:t>
      </w:r>
      <w:r w:rsidR="00584B10">
        <w:rPr>
          <w:rFonts w:ascii="Arial" w:hAnsi="Arial" w:hint="cs"/>
          <w:b/>
          <w:bCs/>
          <w:noProof w:val="0"/>
          <w:rtl/>
        </w:rPr>
        <w:t xml:space="preserve"> </w:t>
      </w:r>
      <w:r w:rsidR="00200A23" w:rsidRPr="0004252C">
        <w:rPr>
          <w:rFonts w:ascii="Arial" w:hAnsi="Arial" w:hint="cs"/>
          <w:b/>
          <w:bCs/>
          <w:noProof w:val="0"/>
          <w:rtl/>
        </w:rPr>
        <w:t>סגירת חשבון 162306"</w:t>
      </w:r>
      <w:r w:rsidR="00584B10">
        <w:rPr>
          <w:rFonts w:ascii="Arial" w:hAnsi="Arial" w:hint="cs"/>
          <w:noProof w:val="0"/>
          <w:rtl/>
        </w:rPr>
        <w:t xml:space="preserve">, לפיו הוא ביקש </w:t>
      </w:r>
      <w:r w:rsidR="00200A23" w:rsidRPr="0004252C">
        <w:rPr>
          <w:rFonts w:ascii="Arial" w:hAnsi="Arial" w:hint="cs"/>
          <w:noProof w:val="0"/>
          <w:rtl/>
        </w:rPr>
        <w:t xml:space="preserve">להעביר </w:t>
      </w:r>
      <w:r w:rsidR="00584B10">
        <w:rPr>
          <w:rFonts w:ascii="Arial" w:hAnsi="Arial" w:hint="cs"/>
          <w:noProof w:val="0"/>
          <w:rtl/>
        </w:rPr>
        <w:t>שני שליש מ</w:t>
      </w:r>
      <w:r w:rsidR="00200A23" w:rsidRPr="0004252C">
        <w:rPr>
          <w:rFonts w:ascii="Arial" w:hAnsi="Arial" w:hint="cs"/>
          <w:noProof w:val="0"/>
          <w:rtl/>
        </w:rPr>
        <w:t>פיקדון כספרי ל</w:t>
      </w:r>
      <w:r w:rsidR="00584B10">
        <w:rPr>
          <w:rFonts w:ascii="Arial" w:hAnsi="Arial" w:hint="cs"/>
          <w:noProof w:val="0"/>
          <w:rtl/>
        </w:rPr>
        <w:t>עדיה, שליש לתובע ושליש לחוה</w:t>
      </w:r>
      <w:r w:rsidR="00200A23" w:rsidRPr="0004252C">
        <w:rPr>
          <w:rFonts w:ascii="Arial" w:hAnsi="Arial" w:hint="cs"/>
          <w:noProof w:val="0"/>
          <w:rtl/>
        </w:rPr>
        <w:t xml:space="preserve">. הנתבע </w:t>
      </w:r>
      <w:r w:rsidR="00584B10">
        <w:rPr>
          <w:rFonts w:ascii="Arial" w:hAnsi="Arial" w:hint="cs"/>
          <w:noProof w:val="0"/>
          <w:rtl/>
        </w:rPr>
        <w:t>פעל בהתאם</w:t>
      </w:r>
      <w:r w:rsidR="00200A23" w:rsidRPr="0004252C">
        <w:rPr>
          <w:rFonts w:ascii="Arial" w:hAnsi="Arial" w:hint="cs"/>
          <w:noProof w:val="0"/>
          <w:rtl/>
        </w:rPr>
        <w:t xml:space="preserve">, אף כי הוא לא סגר את חשבון הנאמנות והוא נותר פתוח. </w:t>
      </w:r>
    </w:p>
    <w:p w:rsidR="00200A23" w:rsidRPr="00200A23" w:rsidRDefault="00200A23" w:rsidP="00200A23">
      <w:pPr>
        <w:pStyle w:val="ad"/>
        <w:rPr>
          <w:rFonts w:ascii="Arial" w:hAnsi="Arial"/>
          <w:noProof w:val="0"/>
          <w:rtl/>
        </w:rPr>
      </w:pPr>
    </w:p>
    <w:p w:rsidR="00200A23" w:rsidRDefault="00200A23" w:rsidP="000C5CE7">
      <w:pPr>
        <w:pStyle w:val="ad"/>
        <w:numPr>
          <w:ilvl w:val="0"/>
          <w:numId w:val="1"/>
        </w:numPr>
        <w:spacing w:line="360" w:lineRule="auto"/>
        <w:jc w:val="both"/>
        <w:rPr>
          <w:rFonts w:ascii="Arial" w:hAnsi="Arial"/>
          <w:noProof w:val="0"/>
        </w:rPr>
      </w:pPr>
      <w:r>
        <w:rPr>
          <w:rFonts w:ascii="Arial" w:hAnsi="Arial" w:hint="cs"/>
          <w:noProof w:val="0"/>
          <w:rtl/>
        </w:rPr>
        <w:t>ביום 31.01.2018 נערך ונחתם חוזה לפיו מכר התובע את זכויות</w:t>
      </w:r>
      <w:r w:rsidR="002A2797">
        <w:rPr>
          <w:rFonts w:ascii="Arial" w:hAnsi="Arial" w:hint="cs"/>
          <w:noProof w:val="0"/>
          <w:rtl/>
        </w:rPr>
        <w:t>יו בדירת מגורים</w:t>
      </w:r>
      <w:r w:rsidR="000C5CE7">
        <w:rPr>
          <w:rFonts w:ascii="Arial" w:hAnsi="Arial" w:hint="cs"/>
          <w:noProof w:val="0"/>
          <w:rtl/>
        </w:rPr>
        <w:t xml:space="preserve"> שברח' אמנון ותמר בחיפה, וחלק מ</w:t>
      </w:r>
      <w:r w:rsidR="002A2797">
        <w:rPr>
          <w:rFonts w:ascii="Arial" w:hAnsi="Arial" w:hint="cs"/>
          <w:noProof w:val="0"/>
          <w:rtl/>
        </w:rPr>
        <w:t>תמור</w:t>
      </w:r>
      <w:r w:rsidR="000C5CE7">
        <w:rPr>
          <w:rFonts w:ascii="Arial" w:hAnsi="Arial" w:hint="cs"/>
          <w:noProof w:val="0"/>
          <w:rtl/>
        </w:rPr>
        <w:t>ת ה</w:t>
      </w:r>
      <w:r w:rsidR="002A2797">
        <w:rPr>
          <w:rFonts w:ascii="Arial" w:hAnsi="Arial" w:hint="cs"/>
          <w:noProof w:val="0"/>
          <w:rtl/>
        </w:rPr>
        <w:t xml:space="preserve">עסקה בסך של 180,000 ₪ הופקד באמצעות המחאה </w:t>
      </w:r>
      <w:r w:rsidR="002A2797">
        <w:rPr>
          <w:rFonts w:ascii="Arial" w:hAnsi="Arial" w:hint="cs"/>
          <w:noProof w:val="0"/>
          <w:rtl/>
        </w:rPr>
        <w:lastRenderedPageBreak/>
        <w:t>בנקאית בחשבון הנאמנות (</w:t>
      </w:r>
      <w:r w:rsidR="002A2797" w:rsidRPr="002A2797">
        <w:rPr>
          <w:rFonts w:ascii="Arial" w:hAnsi="Arial" w:hint="cs"/>
          <w:b/>
          <w:bCs/>
          <w:noProof w:val="0"/>
          <w:rtl/>
        </w:rPr>
        <w:t xml:space="preserve">להלן: "עסקת אמנון ותמר" </w:t>
      </w:r>
      <w:r w:rsidR="002A2797">
        <w:rPr>
          <w:rFonts w:ascii="Arial" w:hAnsi="Arial" w:hint="cs"/>
          <w:noProof w:val="0"/>
          <w:rtl/>
        </w:rPr>
        <w:t>ו-</w:t>
      </w:r>
      <w:r w:rsidR="002A2797" w:rsidRPr="002A2797">
        <w:rPr>
          <w:rFonts w:ascii="Arial" w:hAnsi="Arial" w:hint="cs"/>
          <w:b/>
          <w:bCs/>
          <w:noProof w:val="0"/>
          <w:rtl/>
        </w:rPr>
        <w:t>"פיקדון אמנון ותמר"</w:t>
      </w:r>
      <w:r w:rsidR="000C5CE7">
        <w:rPr>
          <w:rFonts w:ascii="Arial" w:hAnsi="Arial" w:hint="cs"/>
          <w:noProof w:val="0"/>
          <w:rtl/>
        </w:rPr>
        <w:t xml:space="preserve"> בהתאם). יצויין, כי לאחיות</w:t>
      </w:r>
      <w:r w:rsidR="002A2797">
        <w:rPr>
          <w:rFonts w:ascii="Arial" w:hAnsi="Arial" w:hint="cs"/>
          <w:noProof w:val="0"/>
          <w:rtl/>
        </w:rPr>
        <w:t xml:space="preserve"> התובע לא היו זכויות בדירה הנ"ל ובתמורה שהתקבלה </w:t>
      </w:r>
      <w:r w:rsidR="000C5CE7">
        <w:rPr>
          <w:rFonts w:ascii="Arial" w:hAnsi="Arial" w:hint="cs"/>
          <w:noProof w:val="0"/>
          <w:rtl/>
        </w:rPr>
        <w:t>מ</w:t>
      </w:r>
      <w:r w:rsidR="002A2797">
        <w:rPr>
          <w:rFonts w:ascii="Arial" w:hAnsi="Arial" w:hint="cs"/>
          <w:noProof w:val="0"/>
          <w:rtl/>
        </w:rPr>
        <w:t xml:space="preserve">עסקת אמנון ותמר וכי הנאמן ייצג את התובע גם כן באותה עסקה. </w:t>
      </w:r>
    </w:p>
    <w:p w:rsidR="002A2797" w:rsidRDefault="002A2797" w:rsidP="000C5CE7">
      <w:pPr>
        <w:pStyle w:val="ad"/>
        <w:jc w:val="both"/>
        <w:rPr>
          <w:rFonts w:ascii="Arial" w:hAnsi="Arial"/>
          <w:noProof w:val="0"/>
          <w:rtl/>
        </w:rPr>
      </w:pPr>
    </w:p>
    <w:p w:rsidR="002A2797" w:rsidRDefault="002A2797" w:rsidP="000C5CE7">
      <w:pPr>
        <w:pStyle w:val="ad"/>
        <w:spacing w:line="360" w:lineRule="auto"/>
        <w:jc w:val="both"/>
        <w:rPr>
          <w:rFonts w:ascii="Arial" w:hAnsi="Arial"/>
          <w:noProof w:val="0"/>
          <w:rtl/>
        </w:rPr>
      </w:pPr>
      <w:r>
        <w:rPr>
          <w:rFonts w:ascii="Arial" w:hAnsi="Arial" w:hint="cs"/>
          <w:noProof w:val="0"/>
          <w:rtl/>
        </w:rPr>
        <w:t xml:space="preserve">לאחר תשלום סך של כ- 29,000 ₪ מפיקדון אמנון ותמר, פנה הנאמן לנתבע </w:t>
      </w:r>
      <w:r w:rsidR="000C5CE7">
        <w:rPr>
          <w:rFonts w:ascii="Arial" w:hAnsi="Arial" w:hint="cs"/>
          <w:noProof w:val="0"/>
          <w:rtl/>
        </w:rPr>
        <w:t xml:space="preserve">במכתבו </w:t>
      </w:r>
      <w:r>
        <w:rPr>
          <w:rFonts w:ascii="Arial" w:hAnsi="Arial" w:hint="cs"/>
          <w:noProof w:val="0"/>
          <w:rtl/>
        </w:rPr>
        <w:t xml:space="preserve">מיום 15.10.2018 בו הוא ביקש להעביר את היתרה בסך של כ- 151,000 ₪ לתובע. בהמשך, לבקשת נציג הנתבע בשם </w:t>
      </w:r>
      <w:r w:rsidR="002E69A9">
        <w:rPr>
          <w:rFonts w:ascii="Arial" w:hAnsi="Arial" w:hint="cs"/>
          <w:noProof w:val="0"/>
          <w:rtl/>
        </w:rPr>
        <w:t>א</w:t>
      </w:r>
      <w:r>
        <w:rPr>
          <w:rFonts w:ascii="Arial" w:hAnsi="Arial" w:hint="cs"/>
          <w:noProof w:val="0"/>
          <w:rtl/>
        </w:rPr>
        <w:t xml:space="preserve">לעד </w:t>
      </w:r>
      <w:r w:rsidRPr="002A2797">
        <w:rPr>
          <w:rFonts w:ascii="Arial" w:hAnsi="Arial" w:hint="cs"/>
          <w:b/>
          <w:bCs/>
          <w:noProof w:val="0"/>
          <w:rtl/>
        </w:rPr>
        <w:t>(להלן: "</w:t>
      </w:r>
      <w:r w:rsidR="002E69A9">
        <w:rPr>
          <w:rFonts w:ascii="Arial" w:hAnsi="Arial" w:hint="cs"/>
          <w:b/>
          <w:bCs/>
          <w:noProof w:val="0"/>
          <w:rtl/>
        </w:rPr>
        <w:t>א</w:t>
      </w:r>
      <w:r w:rsidRPr="002A2797">
        <w:rPr>
          <w:rFonts w:ascii="Arial" w:hAnsi="Arial" w:hint="cs"/>
          <w:b/>
          <w:bCs/>
          <w:noProof w:val="0"/>
          <w:rtl/>
        </w:rPr>
        <w:t>לעד")</w:t>
      </w:r>
      <w:r>
        <w:rPr>
          <w:rFonts w:ascii="Arial" w:hAnsi="Arial" w:hint="cs"/>
          <w:noProof w:val="0"/>
          <w:rtl/>
        </w:rPr>
        <w:t>, המציא הנאמן לנתבע את חוזה המכר בעסקת אמנון ותמר, העתק ההמחאה הבנקאית אשר באמצעותה הופקד פיקדון אמנון ותמר לחשבון הנאמנות וכן אישורים בחתימת אחיותיו של התובע המאומתים על ידי הנאמן, לפיהם אין להן חלק בעסקת אמנון ותמר</w:t>
      </w:r>
      <w:r w:rsidR="00B40B71">
        <w:rPr>
          <w:rFonts w:ascii="Arial" w:hAnsi="Arial" w:hint="cs"/>
          <w:noProof w:val="0"/>
          <w:rtl/>
        </w:rPr>
        <w:t xml:space="preserve"> ובפיקדון אמנון ותמר וכי התובע רשאי לעשות ב</w:t>
      </w:r>
      <w:r w:rsidR="000C5CE7">
        <w:rPr>
          <w:rFonts w:ascii="Arial" w:hAnsi="Arial" w:hint="cs"/>
          <w:noProof w:val="0"/>
          <w:rtl/>
        </w:rPr>
        <w:t xml:space="preserve">ו </w:t>
      </w:r>
      <w:r w:rsidR="00B40B71">
        <w:rPr>
          <w:rFonts w:ascii="Arial" w:hAnsi="Arial" w:hint="cs"/>
          <w:noProof w:val="0"/>
          <w:rtl/>
        </w:rPr>
        <w:t xml:space="preserve">כראות עיניו. </w:t>
      </w:r>
    </w:p>
    <w:p w:rsidR="00B40B71" w:rsidRDefault="00B40B71" w:rsidP="000C5CE7">
      <w:pPr>
        <w:pStyle w:val="ad"/>
        <w:jc w:val="both"/>
        <w:rPr>
          <w:rFonts w:ascii="Arial" w:hAnsi="Arial"/>
          <w:noProof w:val="0"/>
          <w:rtl/>
        </w:rPr>
      </w:pPr>
    </w:p>
    <w:p w:rsidR="00B40B71" w:rsidRDefault="00B40B71" w:rsidP="002A2797">
      <w:pPr>
        <w:pStyle w:val="ad"/>
        <w:spacing w:line="360" w:lineRule="auto"/>
        <w:jc w:val="both"/>
        <w:rPr>
          <w:rFonts w:ascii="Arial" w:hAnsi="Arial"/>
          <w:noProof w:val="0"/>
          <w:rtl/>
        </w:rPr>
      </w:pPr>
      <w:r>
        <w:rPr>
          <w:rFonts w:ascii="Arial" w:hAnsi="Arial" w:hint="cs"/>
          <w:noProof w:val="0"/>
          <w:rtl/>
        </w:rPr>
        <w:t>עם קבלת המסמכים לעיל, הנתבע העביר לתובע ביום 26.10.2018 את יתרת פיקדון אמנון ותמר בסך של 151,000 ₪</w:t>
      </w:r>
      <w:r w:rsidR="000C5CE7">
        <w:rPr>
          <w:rFonts w:ascii="Arial" w:hAnsi="Arial" w:hint="cs"/>
          <w:noProof w:val="0"/>
          <w:rtl/>
        </w:rPr>
        <w:t xml:space="preserve"> והח</w:t>
      </w:r>
      <w:r w:rsidR="006A43D0">
        <w:rPr>
          <w:rFonts w:ascii="Arial" w:hAnsi="Arial" w:hint="cs"/>
          <w:noProof w:val="0"/>
          <w:rtl/>
        </w:rPr>
        <w:t>שבון נותר פתוח</w:t>
      </w:r>
      <w:r>
        <w:rPr>
          <w:rFonts w:ascii="Arial" w:hAnsi="Arial" w:hint="cs"/>
          <w:noProof w:val="0"/>
          <w:rtl/>
        </w:rPr>
        <w:t xml:space="preserve">. </w:t>
      </w:r>
    </w:p>
    <w:p w:rsidR="00B40B71" w:rsidRDefault="00B40B71" w:rsidP="000C5CE7">
      <w:pPr>
        <w:pStyle w:val="ad"/>
        <w:jc w:val="both"/>
        <w:rPr>
          <w:rFonts w:ascii="Arial" w:hAnsi="Arial"/>
          <w:noProof w:val="0"/>
        </w:rPr>
      </w:pPr>
    </w:p>
    <w:p w:rsidR="00B40B71" w:rsidRDefault="00B40B71" w:rsidP="006A43D0">
      <w:pPr>
        <w:pStyle w:val="ad"/>
        <w:numPr>
          <w:ilvl w:val="0"/>
          <w:numId w:val="1"/>
        </w:numPr>
        <w:spacing w:line="360" w:lineRule="auto"/>
        <w:jc w:val="both"/>
        <w:rPr>
          <w:rFonts w:ascii="Arial" w:hAnsi="Arial"/>
          <w:noProof w:val="0"/>
        </w:rPr>
      </w:pPr>
      <w:r>
        <w:rPr>
          <w:rFonts w:ascii="Arial" w:hAnsi="Arial" w:hint="cs"/>
          <w:noProof w:val="0"/>
          <w:rtl/>
        </w:rPr>
        <w:t xml:space="preserve">ביום 26.07.2018 </w:t>
      </w:r>
      <w:r w:rsidR="006A43D0">
        <w:rPr>
          <w:rFonts w:ascii="Arial" w:hAnsi="Arial" w:hint="cs"/>
          <w:noProof w:val="0"/>
          <w:rtl/>
        </w:rPr>
        <w:t xml:space="preserve">התקשר </w:t>
      </w:r>
      <w:r>
        <w:rPr>
          <w:rFonts w:ascii="Arial" w:hAnsi="Arial" w:hint="cs"/>
          <w:noProof w:val="0"/>
          <w:rtl/>
        </w:rPr>
        <w:t xml:space="preserve">התובע </w:t>
      </w:r>
      <w:r w:rsidR="006A43D0">
        <w:rPr>
          <w:rFonts w:ascii="Arial" w:hAnsi="Arial" w:hint="cs"/>
          <w:noProof w:val="0"/>
          <w:rtl/>
        </w:rPr>
        <w:t>ב</w:t>
      </w:r>
      <w:r>
        <w:rPr>
          <w:rFonts w:ascii="Arial" w:hAnsi="Arial" w:hint="cs"/>
          <w:noProof w:val="0"/>
          <w:rtl/>
        </w:rPr>
        <w:t xml:space="preserve">חוזה לפיו הוא מכר את זכויותיו בנכס מקרקעין ביבנה וביום 13.01.2019, או בסמוך </w:t>
      </w:r>
      <w:r w:rsidR="006A43D0">
        <w:rPr>
          <w:rFonts w:ascii="Arial" w:hAnsi="Arial" w:hint="cs"/>
          <w:noProof w:val="0"/>
          <w:rtl/>
        </w:rPr>
        <w:t xml:space="preserve">לכך, הופקד בחשבון הנאמנות מתוך </w:t>
      </w:r>
      <w:r>
        <w:rPr>
          <w:rFonts w:ascii="Arial" w:hAnsi="Arial" w:hint="cs"/>
          <w:noProof w:val="0"/>
          <w:rtl/>
        </w:rPr>
        <w:t>תמור</w:t>
      </w:r>
      <w:r w:rsidR="006A43D0">
        <w:rPr>
          <w:rFonts w:ascii="Arial" w:hAnsi="Arial" w:hint="cs"/>
          <w:noProof w:val="0"/>
          <w:rtl/>
        </w:rPr>
        <w:t xml:space="preserve">ת העסקה הנ''ל </w:t>
      </w:r>
      <w:r>
        <w:rPr>
          <w:rFonts w:ascii="Arial" w:hAnsi="Arial" w:hint="cs"/>
          <w:noProof w:val="0"/>
          <w:rtl/>
        </w:rPr>
        <w:t xml:space="preserve">סך של 315,000 ₪ </w:t>
      </w:r>
      <w:r w:rsidRPr="00B40B71">
        <w:rPr>
          <w:rFonts w:ascii="Arial" w:hAnsi="Arial" w:hint="cs"/>
          <w:b/>
          <w:bCs/>
          <w:noProof w:val="0"/>
          <w:rtl/>
        </w:rPr>
        <w:t>(להלן: "עסקת יבנה"</w:t>
      </w:r>
      <w:r>
        <w:rPr>
          <w:rFonts w:ascii="Arial" w:hAnsi="Arial" w:hint="cs"/>
          <w:noProof w:val="0"/>
          <w:rtl/>
        </w:rPr>
        <w:t xml:space="preserve"> ו-</w:t>
      </w:r>
      <w:r w:rsidRPr="00B40B71">
        <w:rPr>
          <w:rFonts w:ascii="Arial" w:hAnsi="Arial" w:hint="cs"/>
          <w:b/>
          <w:bCs/>
          <w:noProof w:val="0"/>
          <w:rtl/>
        </w:rPr>
        <w:t xml:space="preserve">"פקדון יבנה" </w:t>
      </w:r>
      <w:r>
        <w:rPr>
          <w:rFonts w:ascii="Arial" w:hAnsi="Arial" w:hint="cs"/>
          <w:noProof w:val="0"/>
          <w:rtl/>
        </w:rPr>
        <w:t>בהתאם). יובהר, כי לאחיותיו של התובע אין כל זכויות ב</w:t>
      </w:r>
      <w:r w:rsidR="006A43D0">
        <w:rPr>
          <w:rFonts w:ascii="Arial" w:hAnsi="Arial" w:hint="cs"/>
          <w:noProof w:val="0"/>
          <w:rtl/>
        </w:rPr>
        <w:t xml:space="preserve">אותו </w:t>
      </w:r>
      <w:r>
        <w:rPr>
          <w:rFonts w:ascii="Arial" w:hAnsi="Arial" w:hint="cs"/>
          <w:noProof w:val="0"/>
          <w:rtl/>
        </w:rPr>
        <w:t xml:space="preserve">נכס ובפיקדון יבנה שהתקבל בעקבות מכירתו. </w:t>
      </w:r>
    </w:p>
    <w:p w:rsidR="00B40B71" w:rsidRPr="006A43D0" w:rsidRDefault="00B40B71" w:rsidP="006A43D0">
      <w:pPr>
        <w:pStyle w:val="ad"/>
        <w:jc w:val="both"/>
        <w:rPr>
          <w:rFonts w:ascii="Arial" w:hAnsi="Arial"/>
          <w:noProof w:val="0"/>
          <w:rtl/>
        </w:rPr>
      </w:pPr>
    </w:p>
    <w:p w:rsidR="004E6DEF" w:rsidRDefault="006A43D0" w:rsidP="006A43D0">
      <w:pPr>
        <w:pStyle w:val="ad"/>
        <w:spacing w:line="360" w:lineRule="auto"/>
        <w:jc w:val="both"/>
        <w:rPr>
          <w:rFonts w:ascii="Arial" w:hAnsi="Arial"/>
          <w:noProof w:val="0"/>
          <w:rtl/>
        </w:rPr>
      </w:pPr>
      <w:r>
        <w:rPr>
          <w:rFonts w:ascii="Arial" w:hAnsi="Arial" w:hint="cs"/>
          <w:noProof w:val="0"/>
          <w:rtl/>
        </w:rPr>
        <w:t xml:space="preserve">ביום 02.07.2019 פנה הנאמן, </w:t>
      </w:r>
      <w:r w:rsidR="00B40B71">
        <w:rPr>
          <w:rFonts w:ascii="Arial" w:hAnsi="Arial" w:hint="cs"/>
          <w:noProof w:val="0"/>
          <w:rtl/>
        </w:rPr>
        <w:t xml:space="preserve">אשר ייצג את התובע גם כן בעסקת יבנה, לנתבע במכתב דרישה להעברת פיקדון יבנה במלואו לתובע. בנדון פעל הנאמן כפי שפעל לשחרור פיקדון אמנון ותמר והוא צירף </w:t>
      </w:r>
      <w:r w:rsidR="004E6DEF">
        <w:rPr>
          <w:rFonts w:ascii="Arial" w:hAnsi="Arial" w:hint="cs"/>
          <w:noProof w:val="0"/>
          <w:rtl/>
        </w:rPr>
        <w:t>ל</w:t>
      </w:r>
      <w:r>
        <w:rPr>
          <w:rFonts w:ascii="Arial" w:hAnsi="Arial" w:hint="cs"/>
          <w:noProof w:val="0"/>
          <w:rtl/>
        </w:rPr>
        <w:t xml:space="preserve">מכתבו הנ''ל </w:t>
      </w:r>
      <w:r w:rsidR="004E6DEF">
        <w:rPr>
          <w:rFonts w:ascii="Arial" w:hAnsi="Arial" w:hint="cs"/>
          <w:noProof w:val="0"/>
          <w:rtl/>
        </w:rPr>
        <w:t>את חוזה המכר בעסקת יבנה, כמו גם אישורים בחתימת אחיותיו של התובע המאומתים על ידו, לפיהם פיקדון יבנה שייך במלואו לתובע וה</w:t>
      </w:r>
      <w:r>
        <w:rPr>
          <w:rFonts w:ascii="Arial" w:hAnsi="Arial" w:hint="cs"/>
          <w:noProof w:val="0"/>
          <w:rtl/>
        </w:rPr>
        <w:t xml:space="preserve">וא רשאי לפעול בו </w:t>
      </w:r>
      <w:r w:rsidR="004E6DEF">
        <w:rPr>
          <w:rFonts w:ascii="Arial" w:hAnsi="Arial" w:hint="cs"/>
          <w:noProof w:val="0"/>
          <w:rtl/>
        </w:rPr>
        <w:t xml:space="preserve">כראות עיניו, לרבות העברתו במלואו לתובע. </w:t>
      </w:r>
    </w:p>
    <w:p w:rsidR="00B40B71" w:rsidRDefault="004E6DEF" w:rsidP="006A43D0">
      <w:pPr>
        <w:pStyle w:val="ad"/>
        <w:jc w:val="both"/>
        <w:rPr>
          <w:rFonts w:ascii="Arial" w:hAnsi="Arial"/>
          <w:noProof w:val="0"/>
        </w:rPr>
      </w:pPr>
      <w:r>
        <w:rPr>
          <w:rFonts w:ascii="Arial" w:hAnsi="Arial" w:hint="cs"/>
          <w:noProof w:val="0"/>
          <w:rtl/>
        </w:rPr>
        <w:t xml:space="preserve"> </w:t>
      </w:r>
    </w:p>
    <w:p w:rsidR="00B40B71" w:rsidRDefault="004E6DEF" w:rsidP="00E26F5C">
      <w:pPr>
        <w:pStyle w:val="ad"/>
        <w:numPr>
          <w:ilvl w:val="0"/>
          <w:numId w:val="1"/>
        </w:numPr>
        <w:spacing w:line="360" w:lineRule="auto"/>
        <w:jc w:val="both"/>
        <w:rPr>
          <w:rFonts w:ascii="Arial" w:hAnsi="Arial"/>
          <w:noProof w:val="0"/>
        </w:rPr>
      </w:pPr>
      <w:r>
        <w:rPr>
          <w:rFonts w:ascii="Arial" w:hAnsi="Arial" w:hint="cs"/>
          <w:noProof w:val="0"/>
          <w:rtl/>
        </w:rPr>
        <w:t xml:space="preserve">הנתבע סירב לשחרר את פיקדון יבנה, כבקשת הנאמן, ובנדון התנהלה חליפת מכתבים ממושכת בין הצדדים. באותה התכתבות טען הנתבע, בין היתר, </w:t>
      </w:r>
      <w:r w:rsidR="006A43D0">
        <w:rPr>
          <w:rFonts w:ascii="Arial" w:hAnsi="Arial" w:hint="cs"/>
          <w:noProof w:val="0"/>
          <w:rtl/>
        </w:rPr>
        <w:t xml:space="preserve">כי </w:t>
      </w:r>
      <w:r>
        <w:rPr>
          <w:rFonts w:ascii="Arial" w:hAnsi="Arial" w:hint="cs"/>
          <w:noProof w:val="0"/>
          <w:rtl/>
        </w:rPr>
        <w:t xml:space="preserve">על פי דין יש לפתוח חשבון נאמנות ספציפי לכל עסקת מקרקעין, כי חשבון הנאמנות נפתח באופן ייחודי עבור עסקת כספרי ולפיכך חל איסור בדין להעביר אליו וממנו כספים אשר התקבלו עבור עסקאות אחרות, מה גם ואין הלימה בין הנהנים בחשבון </w:t>
      </w:r>
      <w:r w:rsidR="00943E43">
        <w:rPr>
          <w:rFonts w:ascii="Arial" w:hAnsi="Arial" w:hint="cs"/>
          <w:noProof w:val="0"/>
          <w:rtl/>
        </w:rPr>
        <w:t xml:space="preserve">הנאמנות </w:t>
      </w:r>
      <w:r>
        <w:rPr>
          <w:rFonts w:ascii="Arial" w:hAnsi="Arial" w:hint="cs"/>
          <w:noProof w:val="0"/>
          <w:rtl/>
        </w:rPr>
        <w:t>לבין הדרישה להעב</w:t>
      </w:r>
      <w:r w:rsidR="00943E43">
        <w:rPr>
          <w:rFonts w:ascii="Arial" w:hAnsi="Arial" w:hint="cs"/>
          <w:noProof w:val="0"/>
          <w:rtl/>
        </w:rPr>
        <w:t>י</w:t>
      </w:r>
      <w:r>
        <w:rPr>
          <w:rFonts w:ascii="Arial" w:hAnsi="Arial" w:hint="cs"/>
          <w:noProof w:val="0"/>
          <w:rtl/>
        </w:rPr>
        <w:t>ר</w:t>
      </w:r>
      <w:r w:rsidR="00943E43">
        <w:rPr>
          <w:rFonts w:ascii="Arial" w:hAnsi="Arial" w:hint="cs"/>
          <w:noProof w:val="0"/>
          <w:rtl/>
        </w:rPr>
        <w:t xml:space="preserve"> את מלוא פיקדון יבנה </w:t>
      </w:r>
      <w:r>
        <w:rPr>
          <w:rFonts w:ascii="Arial" w:hAnsi="Arial" w:hint="cs"/>
          <w:noProof w:val="0"/>
          <w:rtl/>
        </w:rPr>
        <w:t xml:space="preserve">לתובע. </w:t>
      </w:r>
      <w:r w:rsidR="00943E43">
        <w:rPr>
          <w:rFonts w:ascii="Arial" w:hAnsi="Arial" w:hint="cs"/>
          <w:noProof w:val="0"/>
          <w:rtl/>
        </w:rPr>
        <w:t xml:space="preserve">לצורך שחרור פיקדון יבנה </w:t>
      </w:r>
      <w:r>
        <w:rPr>
          <w:rFonts w:ascii="Arial" w:hAnsi="Arial" w:hint="cs"/>
          <w:noProof w:val="0"/>
          <w:rtl/>
        </w:rPr>
        <w:t>הנתבע דרש</w:t>
      </w:r>
      <w:r w:rsidR="001D17DF">
        <w:rPr>
          <w:rFonts w:ascii="Arial" w:hAnsi="Arial" w:hint="cs"/>
          <w:noProof w:val="0"/>
          <w:rtl/>
        </w:rPr>
        <w:t xml:space="preserve"> כי התובע ואחיותיו יגיעו יחדיו לאחד מסניפיו לצורך פתיחת חשבון משותף (דרישה זו רוככה בהמשך כך שהתובע ואחיותיו י</w:t>
      </w:r>
      <w:r w:rsidR="00943E43">
        <w:rPr>
          <w:rFonts w:ascii="Arial" w:hAnsi="Arial" w:hint="cs"/>
          <w:noProof w:val="0"/>
          <w:rtl/>
        </w:rPr>
        <w:t>ו</w:t>
      </w:r>
      <w:r w:rsidR="001D17DF">
        <w:rPr>
          <w:rFonts w:ascii="Arial" w:hAnsi="Arial" w:hint="cs"/>
          <w:noProof w:val="0"/>
          <w:rtl/>
        </w:rPr>
        <w:t>כלו להגיע באופן נפרד לכל אחד מסניפי הנתבע על פי נוחיותם)</w:t>
      </w:r>
      <w:r>
        <w:rPr>
          <w:rFonts w:ascii="Arial" w:hAnsi="Arial" w:hint="cs"/>
          <w:noProof w:val="0"/>
          <w:rtl/>
        </w:rPr>
        <w:t>. בהמשך</w:t>
      </w:r>
      <w:r w:rsidR="001D17DF">
        <w:rPr>
          <w:rFonts w:ascii="Arial" w:hAnsi="Arial" w:hint="cs"/>
          <w:noProof w:val="0"/>
          <w:rtl/>
        </w:rPr>
        <w:t xml:space="preserve"> העלה הנתבע הצעה </w:t>
      </w:r>
      <w:r w:rsidR="00943E43">
        <w:rPr>
          <w:rFonts w:ascii="Arial" w:hAnsi="Arial" w:hint="cs"/>
          <w:noProof w:val="0"/>
          <w:rtl/>
        </w:rPr>
        <w:t xml:space="preserve">נוספת, לפיה התובע ואחיותיו </w:t>
      </w:r>
      <w:r w:rsidR="001D17DF">
        <w:rPr>
          <w:rFonts w:ascii="Arial" w:hAnsi="Arial" w:hint="cs"/>
          <w:noProof w:val="0"/>
          <w:rtl/>
        </w:rPr>
        <w:t>י</w:t>
      </w:r>
      <w:r w:rsidR="00943E43">
        <w:rPr>
          <w:rFonts w:ascii="Arial" w:hAnsi="Arial" w:hint="cs"/>
          <w:noProof w:val="0"/>
          <w:rtl/>
        </w:rPr>
        <w:t xml:space="preserve">אשרו בחתימתם באחד מסניפיו </w:t>
      </w:r>
      <w:r w:rsidR="00E26F5C">
        <w:rPr>
          <w:rFonts w:ascii="Arial" w:hAnsi="Arial" w:hint="cs"/>
          <w:noProof w:val="0"/>
          <w:rtl/>
        </w:rPr>
        <w:t>את</w:t>
      </w:r>
      <w:r w:rsidR="001D17DF">
        <w:rPr>
          <w:rFonts w:ascii="Arial" w:hAnsi="Arial" w:hint="cs"/>
          <w:noProof w:val="0"/>
          <w:rtl/>
        </w:rPr>
        <w:t xml:space="preserve"> הסכמת</w:t>
      </w:r>
      <w:r w:rsidR="00E26F5C">
        <w:rPr>
          <w:rFonts w:ascii="Arial" w:hAnsi="Arial" w:hint="cs"/>
          <w:noProof w:val="0"/>
          <w:rtl/>
        </w:rPr>
        <w:t>ם</w:t>
      </w:r>
      <w:r w:rsidR="001D17DF">
        <w:rPr>
          <w:rFonts w:ascii="Arial" w:hAnsi="Arial" w:hint="cs"/>
          <w:noProof w:val="0"/>
          <w:rtl/>
        </w:rPr>
        <w:t xml:space="preserve"> להעברת פיקדון יבנה במלואו לתובע. </w:t>
      </w:r>
    </w:p>
    <w:p w:rsidR="001D17DF" w:rsidRDefault="001D17DF" w:rsidP="001D17DF">
      <w:pPr>
        <w:pStyle w:val="ad"/>
        <w:spacing w:line="360" w:lineRule="auto"/>
        <w:jc w:val="both"/>
        <w:rPr>
          <w:rFonts w:ascii="Arial" w:hAnsi="Arial"/>
          <w:noProof w:val="0"/>
          <w:rtl/>
        </w:rPr>
      </w:pPr>
    </w:p>
    <w:p w:rsidR="001D17DF" w:rsidRDefault="001D17DF" w:rsidP="00E26F5C">
      <w:pPr>
        <w:pStyle w:val="ad"/>
        <w:spacing w:line="360" w:lineRule="auto"/>
        <w:jc w:val="both"/>
        <w:rPr>
          <w:rFonts w:ascii="Arial" w:hAnsi="Arial"/>
          <w:noProof w:val="0"/>
          <w:rtl/>
        </w:rPr>
      </w:pPr>
      <w:r>
        <w:rPr>
          <w:rFonts w:ascii="Arial" w:hAnsi="Arial" w:hint="cs"/>
          <w:noProof w:val="0"/>
          <w:rtl/>
        </w:rPr>
        <w:lastRenderedPageBreak/>
        <w:t xml:space="preserve">הנאמן דחה את דרישת הבנק כי התובע ואחיותיו יגיעו יחדיו </w:t>
      </w:r>
      <w:r w:rsidR="00E26F5C">
        <w:rPr>
          <w:rFonts w:ascii="Arial" w:hAnsi="Arial" w:hint="cs"/>
          <w:noProof w:val="0"/>
          <w:rtl/>
        </w:rPr>
        <w:t>לנתבע לצורך פתיחת חשבון משותף, ו</w:t>
      </w:r>
      <w:r>
        <w:rPr>
          <w:rFonts w:ascii="Arial" w:hAnsi="Arial" w:hint="cs"/>
          <w:noProof w:val="0"/>
          <w:rtl/>
        </w:rPr>
        <w:t>משרוככה דרישה זו והנתבע הציע כי כל אחד מהם יגיע לסניף הנוח לו,</w:t>
      </w:r>
      <w:r w:rsidR="00756680">
        <w:rPr>
          <w:rFonts w:ascii="Arial" w:hAnsi="Arial" w:hint="cs"/>
          <w:noProof w:val="0"/>
          <w:rtl/>
        </w:rPr>
        <w:t xml:space="preserve"> </w:t>
      </w:r>
      <w:r w:rsidR="00E26F5C">
        <w:rPr>
          <w:rFonts w:ascii="Arial" w:hAnsi="Arial" w:hint="cs"/>
          <w:noProof w:val="0"/>
          <w:rtl/>
        </w:rPr>
        <w:t xml:space="preserve">שב </w:t>
      </w:r>
      <w:r w:rsidR="00756680">
        <w:rPr>
          <w:rFonts w:ascii="Arial" w:hAnsi="Arial" w:hint="cs"/>
          <w:noProof w:val="0"/>
          <w:rtl/>
        </w:rPr>
        <w:t>הנאמן ופנה לנתבע על מנת לברר פרטים שונים ביחס לאופן קיום ההצעה הנ"ל. דא עקא, בין לבין, ובעקבות מחלה קשה ממנה סבלה, עדיה הלכה לבית עולמה ביום 18.03.2020</w:t>
      </w:r>
      <w:r w:rsidR="00E26F5C">
        <w:rPr>
          <w:rFonts w:ascii="Arial" w:hAnsi="Arial" w:hint="cs"/>
          <w:noProof w:val="0"/>
          <w:rtl/>
        </w:rPr>
        <w:t>.</w:t>
      </w:r>
    </w:p>
    <w:p w:rsidR="00756680" w:rsidRDefault="00756680" w:rsidP="00E26F5C">
      <w:pPr>
        <w:pStyle w:val="ad"/>
        <w:jc w:val="both"/>
        <w:rPr>
          <w:rFonts w:ascii="Arial" w:hAnsi="Arial"/>
          <w:noProof w:val="0"/>
        </w:rPr>
      </w:pPr>
    </w:p>
    <w:p w:rsidR="001D17DF" w:rsidRDefault="00756680" w:rsidP="00E26F5C">
      <w:pPr>
        <w:pStyle w:val="ad"/>
        <w:numPr>
          <w:ilvl w:val="0"/>
          <w:numId w:val="1"/>
        </w:numPr>
        <w:spacing w:line="360" w:lineRule="auto"/>
        <w:jc w:val="both"/>
        <w:rPr>
          <w:rFonts w:ascii="Arial" w:hAnsi="Arial"/>
          <w:noProof w:val="0"/>
        </w:rPr>
      </w:pPr>
      <w:r>
        <w:rPr>
          <w:rFonts w:ascii="Arial" w:hAnsi="Arial" w:hint="cs"/>
          <w:noProof w:val="0"/>
          <w:rtl/>
        </w:rPr>
        <w:t>ביום 13.08.2020 ניתן צו קיום צוואה ביחס לעיזבון המנוחה עד</w:t>
      </w:r>
      <w:r w:rsidR="00E26F5C">
        <w:rPr>
          <w:rFonts w:ascii="Arial" w:hAnsi="Arial" w:hint="cs"/>
          <w:noProof w:val="0"/>
          <w:rtl/>
        </w:rPr>
        <w:t>י</w:t>
      </w:r>
      <w:r>
        <w:rPr>
          <w:rFonts w:ascii="Arial" w:hAnsi="Arial" w:hint="cs"/>
          <w:noProof w:val="0"/>
          <w:rtl/>
        </w:rPr>
        <w:t>ה ובהמשך, התובע וחוה חתמו בפני פקידי הנתבע על אישורים להעברת פיקדון יבנה ל</w:t>
      </w:r>
      <w:r w:rsidR="00E26F5C">
        <w:rPr>
          <w:rFonts w:ascii="Arial" w:hAnsi="Arial" w:hint="cs"/>
          <w:noProof w:val="0"/>
          <w:rtl/>
        </w:rPr>
        <w:t xml:space="preserve">תובע והוא </w:t>
      </w:r>
      <w:r>
        <w:rPr>
          <w:rFonts w:ascii="Arial" w:hAnsi="Arial" w:hint="cs"/>
          <w:noProof w:val="0"/>
          <w:rtl/>
        </w:rPr>
        <w:t xml:space="preserve">הועבר ביום 16.09.2020. </w:t>
      </w:r>
    </w:p>
    <w:p w:rsidR="00756680" w:rsidRDefault="00756680" w:rsidP="00E26F5C">
      <w:pPr>
        <w:pStyle w:val="ad"/>
        <w:jc w:val="both"/>
        <w:rPr>
          <w:rFonts w:ascii="Arial" w:hAnsi="Arial"/>
          <w:noProof w:val="0"/>
          <w:rtl/>
        </w:rPr>
      </w:pPr>
    </w:p>
    <w:p w:rsidR="00756680" w:rsidRDefault="00756680" w:rsidP="00756680">
      <w:pPr>
        <w:pStyle w:val="ad"/>
        <w:spacing w:line="360" w:lineRule="auto"/>
        <w:ind w:hanging="579"/>
        <w:jc w:val="both"/>
        <w:rPr>
          <w:rFonts w:ascii="Arial" w:hAnsi="Arial"/>
          <w:b/>
          <w:bCs/>
          <w:noProof w:val="0"/>
          <w:u w:val="single"/>
          <w:rtl/>
        </w:rPr>
      </w:pPr>
      <w:r>
        <w:rPr>
          <w:rFonts w:ascii="Arial" w:hAnsi="Arial" w:hint="cs"/>
          <w:b/>
          <w:bCs/>
          <w:noProof w:val="0"/>
          <w:u w:val="single"/>
          <w:rtl/>
        </w:rPr>
        <w:t>טענות הצדדים בתמצית:</w:t>
      </w:r>
    </w:p>
    <w:p w:rsidR="00756680" w:rsidRPr="00756680" w:rsidRDefault="00756680" w:rsidP="00E26F5C">
      <w:pPr>
        <w:pStyle w:val="ad"/>
        <w:ind w:hanging="579"/>
        <w:jc w:val="both"/>
        <w:rPr>
          <w:rFonts w:ascii="Arial" w:hAnsi="Arial"/>
          <w:b/>
          <w:bCs/>
          <w:noProof w:val="0"/>
          <w:u w:val="single"/>
        </w:rPr>
      </w:pPr>
    </w:p>
    <w:p w:rsidR="00756680" w:rsidRDefault="00E26F5C" w:rsidP="00905671">
      <w:pPr>
        <w:pStyle w:val="ad"/>
        <w:numPr>
          <w:ilvl w:val="0"/>
          <w:numId w:val="1"/>
        </w:numPr>
        <w:spacing w:line="360" w:lineRule="auto"/>
        <w:jc w:val="both"/>
        <w:rPr>
          <w:rFonts w:ascii="Arial" w:hAnsi="Arial"/>
          <w:noProof w:val="0"/>
        </w:rPr>
      </w:pPr>
      <w:r>
        <w:rPr>
          <w:rFonts w:ascii="Arial" w:hAnsi="Arial" w:hint="cs"/>
          <w:noProof w:val="0"/>
          <w:rtl/>
        </w:rPr>
        <w:t xml:space="preserve">התובע חולק על </w:t>
      </w:r>
      <w:r w:rsidR="00756680">
        <w:rPr>
          <w:rFonts w:ascii="Arial" w:hAnsi="Arial" w:hint="cs"/>
          <w:noProof w:val="0"/>
          <w:rtl/>
        </w:rPr>
        <w:t>טענ</w:t>
      </w:r>
      <w:r>
        <w:rPr>
          <w:rFonts w:ascii="Arial" w:hAnsi="Arial" w:hint="cs"/>
          <w:noProof w:val="0"/>
          <w:rtl/>
        </w:rPr>
        <w:t xml:space="preserve">ת </w:t>
      </w:r>
      <w:r w:rsidR="00756680">
        <w:rPr>
          <w:rFonts w:ascii="Arial" w:hAnsi="Arial" w:hint="cs"/>
          <w:noProof w:val="0"/>
          <w:rtl/>
        </w:rPr>
        <w:t>ה</w:t>
      </w:r>
      <w:r>
        <w:rPr>
          <w:rFonts w:ascii="Arial" w:hAnsi="Arial" w:hint="cs"/>
          <w:noProof w:val="0"/>
          <w:rtl/>
        </w:rPr>
        <w:t>נתבע</w:t>
      </w:r>
      <w:r w:rsidR="00756680">
        <w:rPr>
          <w:rFonts w:ascii="Arial" w:hAnsi="Arial" w:hint="cs"/>
          <w:noProof w:val="0"/>
          <w:rtl/>
        </w:rPr>
        <w:t xml:space="preserve"> כאילו חשבון הנאמנות נפתח באופן ייחודי עבור עסקת כספרי או כי בהתאם לדין חו</w:t>
      </w:r>
      <w:r w:rsidR="00777228">
        <w:rPr>
          <w:rFonts w:ascii="Arial" w:hAnsi="Arial" w:hint="cs"/>
          <w:noProof w:val="0"/>
          <w:rtl/>
        </w:rPr>
        <w:t>בה ל</w:t>
      </w:r>
      <w:r w:rsidR="00905671">
        <w:rPr>
          <w:rFonts w:ascii="Arial" w:hAnsi="Arial" w:hint="cs"/>
          <w:noProof w:val="0"/>
          <w:rtl/>
        </w:rPr>
        <w:t xml:space="preserve">פתוח </w:t>
      </w:r>
      <w:r w:rsidR="00777228">
        <w:rPr>
          <w:rFonts w:ascii="Arial" w:hAnsi="Arial" w:hint="cs"/>
          <w:noProof w:val="0"/>
          <w:rtl/>
        </w:rPr>
        <w:t>חשבון נאמנות לכל עסקה, מה גם וה</w:t>
      </w:r>
      <w:r w:rsidR="00905671">
        <w:rPr>
          <w:rFonts w:ascii="Arial" w:hAnsi="Arial" w:hint="cs"/>
          <w:noProof w:val="0"/>
          <w:rtl/>
        </w:rPr>
        <w:t xml:space="preserve">טענה </w:t>
      </w:r>
      <w:r w:rsidR="00777228">
        <w:rPr>
          <w:rFonts w:ascii="Arial" w:hAnsi="Arial" w:hint="cs"/>
          <w:noProof w:val="0"/>
          <w:rtl/>
        </w:rPr>
        <w:t>ל</w:t>
      </w:r>
      <w:r w:rsidR="00905671">
        <w:rPr>
          <w:rFonts w:ascii="Arial" w:hAnsi="Arial" w:hint="cs"/>
          <w:noProof w:val="0"/>
          <w:rtl/>
        </w:rPr>
        <w:t>א נתמכה</w:t>
      </w:r>
      <w:r w:rsidR="00777228">
        <w:rPr>
          <w:rFonts w:ascii="Arial" w:hAnsi="Arial" w:hint="cs"/>
          <w:noProof w:val="0"/>
          <w:rtl/>
        </w:rPr>
        <w:t xml:space="preserve"> בהוראות הדין וכן לאור העובדה כי חשבון הנאמנות לא נסגר לאחר העברת פיקדון כספ</w:t>
      </w:r>
      <w:r w:rsidR="00905671">
        <w:rPr>
          <w:rFonts w:ascii="Arial" w:hAnsi="Arial" w:hint="cs"/>
          <w:noProof w:val="0"/>
          <w:rtl/>
        </w:rPr>
        <w:t>ר</w:t>
      </w:r>
      <w:r w:rsidR="00777228">
        <w:rPr>
          <w:rFonts w:ascii="Arial" w:hAnsi="Arial" w:hint="cs"/>
          <w:noProof w:val="0"/>
          <w:rtl/>
        </w:rPr>
        <w:t xml:space="preserve">י או פיקדון אמנון ותמר. התובע מדגיש כי חשבון נאמנות הוא חשבונו של עורך הדין שעל שמו הוא נפתח ולא של הנהנה וכי לפי הדין, האחריות העיקרית כלפי הנהנים רובצת על בעל החשבון </w:t>
      </w:r>
      <w:r w:rsidR="00777228">
        <w:rPr>
          <w:rFonts w:ascii="Arial" w:hAnsi="Arial"/>
          <w:noProof w:val="0"/>
          <w:rtl/>
        </w:rPr>
        <w:t>–</w:t>
      </w:r>
      <w:r w:rsidR="00777228">
        <w:rPr>
          <w:rFonts w:ascii="Arial" w:hAnsi="Arial" w:hint="cs"/>
          <w:noProof w:val="0"/>
          <w:rtl/>
        </w:rPr>
        <w:t xml:space="preserve"> הנאמן, בעוד כי אחריות הבנק כלפיהם מצומצמת ולא מוטלת עליו החובה לוודא כי הכספים המופקדים בחשבון הנאמנות יועברו לכל הנ</w:t>
      </w:r>
      <w:r w:rsidR="00905671">
        <w:rPr>
          <w:rFonts w:ascii="Arial" w:hAnsi="Arial" w:hint="cs"/>
          <w:noProof w:val="0"/>
          <w:rtl/>
        </w:rPr>
        <w:t>הנים</w:t>
      </w:r>
      <w:r w:rsidR="00777228">
        <w:rPr>
          <w:rFonts w:ascii="Arial" w:hAnsi="Arial" w:hint="cs"/>
          <w:noProof w:val="0"/>
          <w:rtl/>
        </w:rPr>
        <w:t>. על אף האמור לעיל, התובע המציא לנתבע את כל האסמכתאות הדר</w:t>
      </w:r>
      <w:r w:rsidR="00905671">
        <w:rPr>
          <w:rFonts w:ascii="Arial" w:hAnsi="Arial" w:hint="cs"/>
          <w:noProof w:val="0"/>
          <w:rtl/>
        </w:rPr>
        <w:t>ו</w:t>
      </w:r>
      <w:r w:rsidR="00777228">
        <w:rPr>
          <w:rFonts w:ascii="Arial" w:hAnsi="Arial" w:hint="cs"/>
          <w:noProof w:val="0"/>
          <w:rtl/>
        </w:rPr>
        <w:t>שות להעברת פיקדון יבנה לידיו, כפי שעשה לצורך העברת פיקדון אמנון ותמר ול</w:t>
      </w:r>
      <w:r w:rsidR="00905671">
        <w:rPr>
          <w:rFonts w:ascii="Arial" w:hAnsi="Arial" w:hint="cs"/>
          <w:noProof w:val="0"/>
          <w:rtl/>
        </w:rPr>
        <w:t>פיכך</w:t>
      </w:r>
      <w:r w:rsidR="00777228">
        <w:rPr>
          <w:rFonts w:ascii="Arial" w:hAnsi="Arial" w:hint="cs"/>
          <w:noProof w:val="0"/>
          <w:rtl/>
        </w:rPr>
        <w:t xml:space="preserve"> לא היה כל טעם בהתנגדות הנתבע לפעול בהתאם. </w:t>
      </w:r>
    </w:p>
    <w:p w:rsidR="00905671" w:rsidRDefault="00905671" w:rsidP="00905671">
      <w:pPr>
        <w:pStyle w:val="ad"/>
        <w:jc w:val="both"/>
        <w:rPr>
          <w:rFonts w:ascii="Arial" w:hAnsi="Arial"/>
          <w:noProof w:val="0"/>
        </w:rPr>
      </w:pPr>
    </w:p>
    <w:p w:rsidR="00777228" w:rsidRDefault="00777228" w:rsidP="00383C58">
      <w:pPr>
        <w:pStyle w:val="ad"/>
        <w:spacing w:line="360" w:lineRule="auto"/>
        <w:jc w:val="both"/>
        <w:rPr>
          <w:rFonts w:ascii="Arial" w:hAnsi="Arial"/>
          <w:noProof w:val="0"/>
          <w:rtl/>
        </w:rPr>
      </w:pPr>
      <w:r>
        <w:rPr>
          <w:rFonts w:ascii="Arial" w:hAnsi="Arial" w:hint="cs"/>
          <w:noProof w:val="0"/>
          <w:rtl/>
        </w:rPr>
        <w:t xml:space="preserve">התובע מפנה לעובדה כי הנתבע לא העלה כל טענה ולא נקט בכל פעולה כאשר פיקדון יבנה הופקד בחשבון, אלא רק כאשר הוא ביקש להעבירו לידיו. כמו כן, התובע מכחיש טענה שהעלה הנתבע כאילו הובהר לו בעקבות שחרור פיקדון אמנון ותמר כי </w:t>
      </w:r>
      <w:r w:rsidR="00383C58">
        <w:rPr>
          <w:rFonts w:ascii="Arial" w:hAnsi="Arial" w:hint="cs"/>
          <w:noProof w:val="0"/>
          <w:rtl/>
        </w:rPr>
        <w:t>אין</w:t>
      </w:r>
      <w:r>
        <w:rPr>
          <w:rFonts w:ascii="Arial" w:hAnsi="Arial" w:hint="cs"/>
          <w:noProof w:val="0"/>
          <w:rtl/>
        </w:rPr>
        <w:t xml:space="preserve"> להפקיד בחשבון ה</w:t>
      </w:r>
      <w:r w:rsidR="005D5B05">
        <w:rPr>
          <w:rFonts w:ascii="Arial" w:hAnsi="Arial" w:hint="cs"/>
          <w:noProof w:val="0"/>
          <w:rtl/>
        </w:rPr>
        <w:t xml:space="preserve">נאמנות כספים שמקורם </w:t>
      </w:r>
      <w:r w:rsidR="00383C58">
        <w:rPr>
          <w:rFonts w:ascii="Arial" w:hAnsi="Arial" w:hint="cs"/>
          <w:noProof w:val="0"/>
          <w:rtl/>
        </w:rPr>
        <w:t>א</w:t>
      </w:r>
      <w:r w:rsidR="005D5B05">
        <w:rPr>
          <w:rFonts w:ascii="Arial" w:hAnsi="Arial" w:hint="cs"/>
          <w:noProof w:val="0"/>
          <w:rtl/>
        </w:rPr>
        <w:t>ינו בעסקת כספרי.</w:t>
      </w:r>
    </w:p>
    <w:p w:rsidR="005D5B05" w:rsidRDefault="005D5B05" w:rsidP="00905671">
      <w:pPr>
        <w:pStyle w:val="ad"/>
        <w:jc w:val="both"/>
        <w:rPr>
          <w:rFonts w:ascii="Arial" w:hAnsi="Arial"/>
          <w:noProof w:val="0"/>
          <w:rtl/>
        </w:rPr>
      </w:pPr>
    </w:p>
    <w:p w:rsidR="005D5B05" w:rsidRDefault="005D5B05" w:rsidP="00383C58">
      <w:pPr>
        <w:pStyle w:val="ad"/>
        <w:spacing w:line="360" w:lineRule="auto"/>
        <w:jc w:val="both"/>
        <w:rPr>
          <w:rFonts w:ascii="Arial" w:hAnsi="Arial"/>
          <w:noProof w:val="0"/>
          <w:rtl/>
        </w:rPr>
      </w:pPr>
      <w:r>
        <w:rPr>
          <w:rFonts w:ascii="Arial" w:hAnsi="Arial" w:hint="cs"/>
          <w:noProof w:val="0"/>
          <w:rtl/>
        </w:rPr>
        <w:t>הוסיף התובע והבהיר כי לאור גילן המתקדם ומצבן הבריאותי הר</w:t>
      </w:r>
      <w:r w:rsidR="00383C58">
        <w:rPr>
          <w:rFonts w:ascii="Arial" w:hAnsi="Arial" w:hint="cs"/>
          <w:noProof w:val="0"/>
          <w:rtl/>
        </w:rPr>
        <w:t>ופף של אחיות התובע, היה קושי לקיי</w:t>
      </w:r>
      <w:r>
        <w:rPr>
          <w:rFonts w:ascii="Arial" w:hAnsi="Arial" w:hint="cs"/>
          <w:noProof w:val="0"/>
          <w:rtl/>
        </w:rPr>
        <w:t>ם את הצעת</w:t>
      </w:r>
      <w:r w:rsidR="00383C58">
        <w:rPr>
          <w:rFonts w:ascii="Arial" w:hAnsi="Arial" w:hint="cs"/>
          <w:noProof w:val="0"/>
          <w:rtl/>
        </w:rPr>
        <w:t xml:space="preserve"> הנתבע, לפיה</w:t>
      </w:r>
      <w:r>
        <w:rPr>
          <w:rFonts w:ascii="Arial" w:hAnsi="Arial" w:hint="cs"/>
          <w:noProof w:val="0"/>
          <w:rtl/>
        </w:rPr>
        <w:t xml:space="preserve"> התובע ואחיותיו יסורו יחדיו לנתבע לצורך פתיחת חשבון משותף, מה גם ולנתבע אין סמכות לתת הוראות כיצד לפעול בחשבון הנאמנות. כן הצביע התובע על הקושי האפשרי </w:t>
      </w:r>
      <w:r w:rsidR="00383C58">
        <w:rPr>
          <w:rFonts w:ascii="Arial" w:hAnsi="Arial" w:hint="cs"/>
          <w:noProof w:val="0"/>
          <w:rtl/>
        </w:rPr>
        <w:t>להסביר</w:t>
      </w:r>
      <w:r>
        <w:rPr>
          <w:rFonts w:ascii="Arial" w:hAnsi="Arial" w:hint="cs"/>
          <w:noProof w:val="0"/>
          <w:rtl/>
        </w:rPr>
        <w:t xml:space="preserve"> לפקיד הנתבע </w:t>
      </w:r>
      <w:r w:rsidR="00383C58">
        <w:rPr>
          <w:rFonts w:ascii="Arial" w:hAnsi="Arial" w:hint="cs"/>
          <w:noProof w:val="0"/>
          <w:rtl/>
        </w:rPr>
        <w:t>את</w:t>
      </w:r>
      <w:r>
        <w:rPr>
          <w:rFonts w:ascii="Arial" w:hAnsi="Arial" w:hint="cs"/>
          <w:noProof w:val="0"/>
          <w:rtl/>
        </w:rPr>
        <w:t xml:space="preserve"> מקור הכספים, הסיבה להפקדתם והאפשרות כי שוב </w:t>
      </w:r>
      <w:r w:rsidR="00383C58">
        <w:rPr>
          <w:rFonts w:ascii="Arial" w:hAnsi="Arial" w:hint="cs"/>
          <w:noProof w:val="0"/>
          <w:rtl/>
        </w:rPr>
        <w:t xml:space="preserve">יידרש אישור </w:t>
      </w:r>
      <w:r>
        <w:rPr>
          <w:rFonts w:ascii="Arial" w:hAnsi="Arial" w:hint="cs"/>
          <w:noProof w:val="0"/>
          <w:rtl/>
        </w:rPr>
        <w:t xml:space="preserve">אחיות התובע </w:t>
      </w:r>
      <w:r w:rsidR="00383C58">
        <w:rPr>
          <w:rFonts w:ascii="Arial" w:hAnsi="Arial" w:hint="cs"/>
          <w:noProof w:val="0"/>
          <w:rtl/>
        </w:rPr>
        <w:t>ל</w:t>
      </w:r>
      <w:r>
        <w:rPr>
          <w:rFonts w:ascii="Arial" w:hAnsi="Arial" w:hint="cs"/>
          <w:noProof w:val="0"/>
          <w:rtl/>
        </w:rPr>
        <w:t>משיכת פיקדון יבנה מהחשבון המשותף שייפתח על פי הצעת הנתבע.</w:t>
      </w:r>
    </w:p>
    <w:p w:rsidR="005D5B05" w:rsidRDefault="005D5B05" w:rsidP="00383C58">
      <w:pPr>
        <w:pStyle w:val="ad"/>
        <w:jc w:val="both"/>
        <w:rPr>
          <w:rFonts w:ascii="Arial" w:hAnsi="Arial"/>
          <w:noProof w:val="0"/>
          <w:rtl/>
        </w:rPr>
      </w:pPr>
    </w:p>
    <w:p w:rsidR="005D5B05" w:rsidRDefault="005D5B05" w:rsidP="005D5B05">
      <w:pPr>
        <w:pStyle w:val="ad"/>
        <w:spacing w:line="360" w:lineRule="auto"/>
        <w:jc w:val="both"/>
        <w:rPr>
          <w:rFonts w:ascii="Arial" w:hAnsi="Arial"/>
          <w:noProof w:val="0"/>
          <w:rtl/>
        </w:rPr>
      </w:pPr>
      <w:r>
        <w:rPr>
          <w:rFonts w:ascii="Arial" w:hAnsi="Arial" w:hint="cs"/>
          <w:noProof w:val="0"/>
          <w:rtl/>
        </w:rPr>
        <w:t xml:space="preserve">ביחס לסכום התביעה, התובע טען כי הוא התכוון להשקיע את פיקדון יבנה בקרן "אלפא אופורטיוניטי" </w:t>
      </w:r>
      <w:r w:rsidRPr="005D5B05">
        <w:rPr>
          <w:rFonts w:ascii="Arial" w:hAnsi="Arial" w:hint="cs"/>
          <w:b/>
          <w:bCs/>
          <w:noProof w:val="0"/>
          <w:rtl/>
        </w:rPr>
        <w:t>(להלן: "קרן אלפא")</w:t>
      </w:r>
      <w:r w:rsidR="00383C58">
        <w:rPr>
          <w:rFonts w:ascii="Arial" w:hAnsi="Arial" w:hint="cs"/>
          <w:b/>
          <w:bCs/>
          <w:noProof w:val="0"/>
          <w:rtl/>
        </w:rPr>
        <w:t>,</w:t>
      </w:r>
      <w:r>
        <w:rPr>
          <w:rFonts w:ascii="Arial" w:hAnsi="Arial" w:hint="cs"/>
          <w:noProof w:val="0"/>
          <w:rtl/>
        </w:rPr>
        <w:t xml:space="preserve"> זאת בדומה להשקעת סך של 1,000,000 ₪ אשר קיבל מעסקת יבנה. אותה השקעה הניבה לתובע בתקופה הרלוונטית לתביעה (</w:t>
      </w:r>
      <w:r w:rsidR="00144A14">
        <w:rPr>
          <w:rFonts w:ascii="Arial" w:hAnsi="Arial" w:hint="cs"/>
          <w:noProof w:val="0"/>
          <w:rtl/>
        </w:rPr>
        <w:t xml:space="preserve">01.07.2019 </w:t>
      </w:r>
      <w:r w:rsidR="00144A14">
        <w:rPr>
          <w:rFonts w:ascii="Arial" w:hAnsi="Arial"/>
          <w:noProof w:val="0"/>
          <w:rtl/>
        </w:rPr>
        <w:t>–</w:t>
      </w:r>
      <w:r w:rsidR="00144A14">
        <w:rPr>
          <w:rFonts w:ascii="Arial" w:hAnsi="Arial" w:hint="cs"/>
          <w:noProof w:val="0"/>
          <w:rtl/>
        </w:rPr>
        <w:t xml:space="preserve"> </w:t>
      </w:r>
      <w:r w:rsidR="00144A14">
        <w:rPr>
          <w:rFonts w:ascii="Arial" w:hAnsi="Arial" w:hint="cs"/>
          <w:noProof w:val="0"/>
          <w:rtl/>
        </w:rPr>
        <w:lastRenderedPageBreak/>
        <w:t xml:space="preserve">31.08.2020) רווח בשיעור של 9.623%, המהווים 30,312 ₪ (315,000 </w:t>
      </w:r>
      <w:r w:rsidR="00144A14" w:rsidRPr="00144A14">
        <w:rPr>
          <w:rFonts w:ascii="Arial" w:hAnsi="Arial" w:hint="cs"/>
          <w:noProof w:val="0"/>
          <w:sz w:val="20"/>
          <w:szCs w:val="20"/>
        </w:rPr>
        <w:t>X</w:t>
      </w:r>
      <w:r w:rsidR="00144A14" w:rsidRPr="00144A14">
        <w:rPr>
          <w:rFonts w:ascii="Arial" w:hAnsi="Arial" w:hint="cs"/>
          <w:noProof w:val="0"/>
          <w:sz w:val="20"/>
          <w:szCs w:val="20"/>
          <w:rtl/>
        </w:rPr>
        <w:t xml:space="preserve"> </w:t>
      </w:r>
      <w:r w:rsidR="00144A14">
        <w:rPr>
          <w:rFonts w:ascii="Arial" w:hAnsi="Arial" w:hint="cs"/>
          <w:noProof w:val="0"/>
          <w:rtl/>
        </w:rPr>
        <w:t xml:space="preserve">9.623%). כן מבקש התובע לחייב את הנתבע בתשלום פיצוי בגין עגמת נפש בסך של 5,000 ₪. </w:t>
      </w:r>
    </w:p>
    <w:p w:rsidR="00144A14" w:rsidRDefault="00144A14" w:rsidP="00383C58">
      <w:pPr>
        <w:pStyle w:val="ad"/>
        <w:jc w:val="both"/>
        <w:rPr>
          <w:rFonts w:ascii="Arial" w:hAnsi="Arial"/>
          <w:noProof w:val="0"/>
          <w:rtl/>
        </w:rPr>
      </w:pPr>
    </w:p>
    <w:p w:rsidR="00777228" w:rsidRDefault="00144A14" w:rsidP="00E8321F">
      <w:pPr>
        <w:pStyle w:val="ad"/>
        <w:numPr>
          <w:ilvl w:val="0"/>
          <w:numId w:val="1"/>
        </w:numPr>
        <w:spacing w:line="360" w:lineRule="auto"/>
        <w:jc w:val="both"/>
        <w:rPr>
          <w:rFonts w:ascii="Arial" w:hAnsi="Arial"/>
          <w:noProof w:val="0"/>
        </w:rPr>
      </w:pPr>
      <w:r>
        <w:rPr>
          <w:rFonts w:ascii="Arial" w:hAnsi="Arial" w:hint="cs"/>
          <w:noProof w:val="0"/>
          <w:rtl/>
        </w:rPr>
        <w:t xml:space="preserve">לטענת הנתבע, חשבון הנאמנות נפתח באופן ספציפי בקשר לעסקת כספרי וזאת עבור 3 נהנים </w:t>
      </w:r>
      <w:r>
        <w:rPr>
          <w:rFonts w:ascii="Arial" w:hAnsi="Arial"/>
          <w:noProof w:val="0"/>
          <w:rtl/>
        </w:rPr>
        <w:t>–</w:t>
      </w:r>
      <w:r w:rsidR="00E8321F">
        <w:rPr>
          <w:rFonts w:ascii="Arial" w:hAnsi="Arial" w:hint="cs"/>
          <w:noProof w:val="0"/>
          <w:rtl/>
        </w:rPr>
        <w:t xml:space="preserve"> התובע ואחיותיו.</w:t>
      </w:r>
      <w:r>
        <w:rPr>
          <w:rFonts w:ascii="Arial" w:hAnsi="Arial" w:hint="cs"/>
          <w:noProof w:val="0"/>
          <w:rtl/>
        </w:rPr>
        <w:t xml:space="preserve"> ולפיכך חל איסור להעביר לאותו חשבון כספים מעסקאות אחרות</w:t>
      </w:r>
      <w:r w:rsidR="00E8321F">
        <w:rPr>
          <w:rFonts w:ascii="Arial" w:hAnsi="Arial" w:hint="cs"/>
          <w:noProof w:val="0"/>
          <w:rtl/>
        </w:rPr>
        <w:t xml:space="preserve">. לראייה, </w:t>
      </w:r>
      <w:r>
        <w:rPr>
          <w:rFonts w:ascii="Arial" w:hAnsi="Arial" w:hint="cs"/>
          <w:noProof w:val="0"/>
          <w:rtl/>
        </w:rPr>
        <w:t xml:space="preserve">במכתבו של הנאמן מיום 04.08.2014 הוא ביקש </w:t>
      </w:r>
      <w:r w:rsidR="00E8321F">
        <w:rPr>
          <w:rFonts w:ascii="Arial" w:hAnsi="Arial" w:hint="cs"/>
          <w:noProof w:val="0"/>
          <w:rtl/>
        </w:rPr>
        <w:t>ל</w:t>
      </w:r>
      <w:r>
        <w:rPr>
          <w:rFonts w:ascii="Arial" w:hAnsi="Arial" w:hint="cs"/>
          <w:noProof w:val="0"/>
          <w:rtl/>
        </w:rPr>
        <w:t>העב</w:t>
      </w:r>
      <w:r w:rsidR="00E8321F">
        <w:rPr>
          <w:rFonts w:ascii="Arial" w:hAnsi="Arial" w:hint="cs"/>
          <w:noProof w:val="0"/>
          <w:rtl/>
        </w:rPr>
        <w:t>י</w:t>
      </w:r>
      <w:r>
        <w:rPr>
          <w:rFonts w:ascii="Arial" w:hAnsi="Arial" w:hint="cs"/>
          <w:noProof w:val="0"/>
          <w:rtl/>
        </w:rPr>
        <w:t>ר</w:t>
      </w:r>
      <w:r w:rsidR="00E8321F">
        <w:rPr>
          <w:rFonts w:ascii="Arial" w:hAnsi="Arial" w:hint="cs"/>
          <w:noProof w:val="0"/>
          <w:rtl/>
        </w:rPr>
        <w:t xml:space="preserve"> את</w:t>
      </w:r>
      <w:r>
        <w:rPr>
          <w:rFonts w:ascii="Arial" w:hAnsi="Arial" w:hint="cs"/>
          <w:noProof w:val="0"/>
          <w:rtl/>
        </w:rPr>
        <w:t xml:space="preserve"> פיקדון כספרי</w:t>
      </w:r>
      <w:r w:rsidR="00E8321F">
        <w:rPr>
          <w:rFonts w:ascii="Arial" w:hAnsi="Arial" w:hint="cs"/>
          <w:noProof w:val="0"/>
          <w:rtl/>
        </w:rPr>
        <w:t xml:space="preserve"> לתובע</w:t>
      </w:r>
      <w:r>
        <w:rPr>
          <w:rFonts w:ascii="Arial" w:hAnsi="Arial" w:hint="cs"/>
          <w:noProof w:val="0"/>
          <w:rtl/>
        </w:rPr>
        <w:t xml:space="preserve"> ו</w:t>
      </w:r>
      <w:r w:rsidR="00E8321F">
        <w:rPr>
          <w:rFonts w:ascii="Arial" w:hAnsi="Arial" w:hint="cs"/>
          <w:noProof w:val="0"/>
          <w:rtl/>
        </w:rPr>
        <w:t>ל</w:t>
      </w:r>
      <w:r>
        <w:rPr>
          <w:rFonts w:ascii="Arial" w:hAnsi="Arial" w:hint="cs"/>
          <w:noProof w:val="0"/>
          <w:rtl/>
        </w:rPr>
        <w:t>סג</w:t>
      </w:r>
      <w:r w:rsidR="00E8321F">
        <w:rPr>
          <w:rFonts w:ascii="Arial" w:hAnsi="Arial" w:hint="cs"/>
          <w:noProof w:val="0"/>
          <w:rtl/>
        </w:rPr>
        <w:t>ו</w:t>
      </w:r>
      <w:r>
        <w:rPr>
          <w:rFonts w:ascii="Arial" w:hAnsi="Arial" w:hint="cs"/>
          <w:noProof w:val="0"/>
          <w:rtl/>
        </w:rPr>
        <w:t>ר</w:t>
      </w:r>
      <w:r w:rsidR="00E8321F">
        <w:rPr>
          <w:rFonts w:ascii="Arial" w:hAnsi="Arial" w:hint="cs"/>
          <w:noProof w:val="0"/>
          <w:rtl/>
        </w:rPr>
        <w:t xml:space="preserve"> את</w:t>
      </w:r>
      <w:r>
        <w:rPr>
          <w:rFonts w:ascii="Arial" w:hAnsi="Arial" w:hint="cs"/>
          <w:noProof w:val="0"/>
          <w:rtl/>
        </w:rPr>
        <w:t xml:space="preserve"> החשבון, אף כי בפועל, בנסיבות שלא היה ניתן לברר אותן, החשבון לא נסגר. </w:t>
      </w:r>
    </w:p>
    <w:p w:rsidR="00144A14" w:rsidRPr="00E8321F" w:rsidRDefault="00144A14" w:rsidP="00383C58">
      <w:pPr>
        <w:pStyle w:val="ad"/>
        <w:jc w:val="both"/>
        <w:rPr>
          <w:rFonts w:ascii="Arial" w:hAnsi="Arial"/>
          <w:noProof w:val="0"/>
          <w:rtl/>
        </w:rPr>
      </w:pPr>
    </w:p>
    <w:p w:rsidR="00EA4C83" w:rsidRDefault="00144A14" w:rsidP="007200CC">
      <w:pPr>
        <w:pStyle w:val="ad"/>
        <w:spacing w:line="360" w:lineRule="auto"/>
        <w:jc w:val="both"/>
        <w:rPr>
          <w:rFonts w:ascii="Arial" w:hAnsi="Arial"/>
          <w:noProof w:val="0"/>
          <w:rtl/>
        </w:rPr>
      </w:pPr>
      <w:r>
        <w:rPr>
          <w:rFonts w:ascii="Arial" w:hAnsi="Arial" w:hint="cs"/>
          <w:noProof w:val="0"/>
          <w:rtl/>
        </w:rPr>
        <w:t>הוסיף הנתבע וטען כי העברת פיקדון אמנון ותמר ופיקדון יבנה לחשבון מנוגדת להוראות בנק ישראל, לניהול בנקאי תקין וכן לסעיפים 2א' ו-4 לצו איסור הלבנת הון (חובת זיהוי, דיווח וניהול רישומים של תאגידים בנקאיים למניעת הלבנת הון או מימון טרור), תשס"א-2001</w:t>
      </w:r>
      <w:r>
        <w:rPr>
          <w:rFonts w:ascii="Arial" w:hAnsi="Arial"/>
          <w:noProof w:val="0"/>
        </w:rPr>
        <w:t xml:space="preserve"> </w:t>
      </w:r>
      <w:r>
        <w:rPr>
          <w:rFonts w:ascii="Arial" w:hAnsi="Arial" w:hint="cs"/>
          <w:noProof w:val="0"/>
          <w:rtl/>
        </w:rPr>
        <w:t xml:space="preserve"> </w:t>
      </w:r>
      <w:r w:rsidRPr="00144A14">
        <w:rPr>
          <w:rFonts w:ascii="Arial" w:hAnsi="Arial" w:hint="cs"/>
          <w:b/>
          <w:bCs/>
          <w:noProof w:val="0"/>
          <w:rtl/>
        </w:rPr>
        <w:t>(להלן: "צו איסור הלבנת הון")</w:t>
      </w:r>
      <w:r w:rsidR="00CB19A9">
        <w:rPr>
          <w:rFonts w:ascii="Arial" w:hAnsi="Arial" w:hint="cs"/>
          <w:noProof w:val="0"/>
          <w:rtl/>
        </w:rPr>
        <w:t>, זאת לאור העדר התאמה מלאה בין זהות הנהנים בחשבון הנאמנות לבין פרטי הצד בעסקאות מהם התקב</w:t>
      </w:r>
      <w:r w:rsidR="00E8321F">
        <w:rPr>
          <w:rFonts w:ascii="Arial" w:hAnsi="Arial" w:hint="cs"/>
          <w:noProof w:val="0"/>
          <w:rtl/>
        </w:rPr>
        <w:t>ל</w:t>
      </w:r>
      <w:r w:rsidR="00CB19A9">
        <w:rPr>
          <w:rFonts w:ascii="Arial" w:hAnsi="Arial" w:hint="cs"/>
          <w:noProof w:val="0"/>
          <w:rtl/>
        </w:rPr>
        <w:t xml:space="preserve"> פיקדון אמנון ותמר ופיקדון יבנה.</w:t>
      </w:r>
      <w:r w:rsidR="00E8321F">
        <w:rPr>
          <w:rFonts w:ascii="Arial" w:hAnsi="Arial" w:hint="cs"/>
          <w:noProof w:val="0"/>
          <w:rtl/>
        </w:rPr>
        <w:t xml:space="preserve"> עניין זה הובהר </w:t>
      </w:r>
      <w:r w:rsidR="00CB19A9">
        <w:rPr>
          <w:rFonts w:ascii="Arial" w:hAnsi="Arial" w:hint="cs"/>
          <w:noProof w:val="0"/>
          <w:rtl/>
        </w:rPr>
        <w:t>לנאמן בעקבות העברת פיקדון אמנון ותמר לחשבון הנאמנות, אולם משנחה דעתו</w:t>
      </w:r>
      <w:r w:rsidR="00E8321F">
        <w:rPr>
          <w:rFonts w:ascii="Arial" w:hAnsi="Arial" w:hint="cs"/>
          <w:noProof w:val="0"/>
          <w:rtl/>
        </w:rPr>
        <w:t xml:space="preserve"> של הנתבע </w:t>
      </w:r>
      <w:r w:rsidR="00CB19A9">
        <w:rPr>
          <w:rFonts w:ascii="Arial" w:hAnsi="Arial" w:hint="cs"/>
          <w:noProof w:val="0"/>
          <w:rtl/>
        </w:rPr>
        <w:t xml:space="preserve"> כי הנאמן ביצע "עבירה" בתום לב והוא התחייב כי המעשה לא יישנה, הוא התיר העברת מלוא הסכום לתובע לאחר קבלת אסמכתאות לפיהן נחה דעתו כי הוא זכאי לכך. בפועל, הנאמן שב וביצע </w:t>
      </w:r>
      <w:r w:rsidR="007200CC">
        <w:rPr>
          <w:rFonts w:ascii="Arial" w:hAnsi="Arial" w:hint="cs"/>
          <w:noProof w:val="0"/>
          <w:rtl/>
        </w:rPr>
        <w:t xml:space="preserve"> אותה </w:t>
      </w:r>
      <w:r w:rsidR="00CB19A9">
        <w:rPr>
          <w:rFonts w:ascii="Arial" w:hAnsi="Arial" w:hint="cs"/>
          <w:noProof w:val="0"/>
          <w:rtl/>
        </w:rPr>
        <w:t xml:space="preserve">"עבירה" </w:t>
      </w:r>
      <w:r w:rsidR="007200CC">
        <w:rPr>
          <w:rFonts w:ascii="Arial" w:hAnsi="Arial" w:hint="cs"/>
          <w:noProof w:val="0"/>
          <w:rtl/>
        </w:rPr>
        <w:t>משהעביר ל</w:t>
      </w:r>
      <w:r w:rsidR="00CB19A9">
        <w:rPr>
          <w:rFonts w:ascii="Arial" w:hAnsi="Arial" w:hint="cs"/>
          <w:noProof w:val="0"/>
          <w:rtl/>
        </w:rPr>
        <w:t>חשבון הנאמנות את פיקדון יבנה. בנסיבות העניין, מכוח חובת הזהירות המוטלת עליו בדין, הנתבע לא הסתפק באישור אחיותיו של התובע להעברת פיקדון יבנה לתובע ובדין</w:t>
      </w:r>
      <w:r w:rsidR="007200CC">
        <w:rPr>
          <w:rFonts w:ascii="Arial" w:hAnsi="Arial" w:hint="cs"/>
          <w:noProof w:val="0"/>
          <w:rtl/>
        </w:rPr>
        <w:t xml:space="preserve"> הוא</w:t>
      </w:r>
      <w:r w:rsidR="00CB19A9">
        <w:rPr>
          <w:rFonts w:ascii="Arial" w:hAnsi="Arial" w:hint="cs"/>
          <w:noProof w:val="0"/>
          <w:rtl/>
        </w:rPr>
        <w:t xml:space="preserve"> דרש פתיחת חשבון משותף על שם שלושת הנהנים אליו יועבר </w:t>
      </w:r>
      <w:r w:rsidR="007200CC">
        <w:rPr>
          <w:rFonts w:ascii="Arial" w:hAnsi="Arial" w:hint="cs"/>
          <w:noProof w:val="0"/>
          <w:rtl/>
        </w:rPr>
        <w:t>הפיקדון</w:t>
      </w:r>
      <w:r w:rsidR="00CB19A9">
        <w:rPr>
          <w:rFonts w:ascii="Arial" w:hAnsi="Arial" w:hint="cs"/>
          <w:noProof w:val="0"/>
          <w:rtl/>
        </w:rPr>
        <w:t xml:space="preserve"> וממנו יוכל התובע למשוך את מלוא הסכום. יוצא אפוא, כך לטענת הנתבע, כי בדין </w:t>
      </w:r>
      <w:r w:rsidR="00EA4C83">
        <w:rPr>
          <w:rFonts w:ascii="Arial" w:hAnsi="Arial" w:hint="cs"/>
          <w:noProof w:val="0"/>
          <w:rtl/>
        </w:rPr>
        <w:t xml:space="preserve">ומטעמים סבירים הוא סירב להעניק לתובע את השירות שהתבקש. </w:t>
      </w:r>
    </w:p>
    <w:p w:rsidR="00EA4C83" w:rsidRDefault="00EA4C83" w:rsidP="007200CC">
      <w:pPr>
        <w:pStyle w:val="ad"/>
        <w:jc w:val="both"/>
        <w:rPr>
          <w:rFonts w:ascii="Arial" w:hAnsi="Arial"/>
          <w:noProof w:val="0"/>
          <w:rtl/>
        </w:rPr>
      </w:pPr>
    </w:p>
    <w:p w:rsidR="00EA4C83" w:rsidRDefault="00EA4C83" w:rsidP="007200CC">
      <w:pPr>
        <w:pStyle w:val="ad"/>
        <w:spacing w:line="360" w:lineRule="auto"/>
        <w:jc w:val="both"/>
        <w:rPr>
          <w:rFonts w:ascii="Arial" w:hAnsi="Arial"/>
          <w:noProof w:val="0"/>
          <w:rtl/>
        </w:rPr>
      </w:pPr>
      <w:r>
        <w:rPr>
          <w:rFonts w:ascii="Arial" w:hAnsi="Arial" w:hint="cs"/>
          <w:noProof w:val="0"/>
          <w:rtl/>
        </w:rPr>
        <w:t>הוסיף הנתבע וטען כי הוא לא היה זכאי לסגור את חשבון הנאמנות באופן יזום עם העברת פ</w:t>
      </w:r>
      <w:r w:rsidR="007200CC">
        <w:rPr>
          <w:rFonts w:ascii="Arial" w:hAnsi="Arial" w:hint="cs"/>
          <w:noProof w:val="0"/>
          <w:rtl/>
        </w:rPr>
        <w:t>י</w:t>
      </w:r>
      <w:r>
        <w:rPr>
          <w:rFonts w:ascii="Arial" w:hAnsi="Arial" w:hint="cs"/>
          <w:noProof w:val="0"/>
          <w:rtl/>
        </w:rPr>
        <w:t>קדון כספרי או פיקדון אמנון ותמר, שכן בהתאם להלכה הפסוקה הדבר אינו עניין של מה בכך והוא יעשה אך בהתקיים נסיבות מיוחדות</w:t>
      </w:r>
      <w:r w:rsidR="007200CC">
        <w:rPr>
          <w:rFonts w:ascii="Arial" w:hAnsi="Arial" w:hint="cs"/>
          <w:noProof w:val="0"/>
          <w:rtl/>
        </w:rPr>
        <w:t xml:space="preserve"> </w:t>
      </w:r>
      <w:r w:rsidR="007200CC">
        <w:rPr>
          <w:rFonts w:ascii="Arial" w:hAnsi="Arial"/>
          <w:noProof w:val="0"/>
          <w:rtl/>
        </w:rPr>
        <w:t>–</w:t>
      </w:r>
      <w:r w:rsidR="007200CC">
        <w:rPr>
          <w:rFonts w:ascii="Arial" w:hAnsi="Arial" w:hint="cs"/>
          <w:noProof w:val="0"/>
          <w:rtl/>
        </w:rPr>
        <w:t xml:space="preserve"> חשש ממשי להלבנת הון או פעולות טרור -</w:t>
      </w:r>
      <w:r>
        <w:rPr>
          <w:rFonts w:ascii="Arial" w:hAnsi="Arial" w:hint="cs"/>
          <w:noProof w:val="0"/>
          <w:rtl/>
        </w:rPr>
        <w:t xml:space="preserve"> ואשר אינן מתקיימות במקרה דנן. מנגד, מאחר והנאמן הפר בשנית את צו איסור הלבנת הון ופעל בניגוד להוראות בנק ישראל משהעביר לחשבון הנאמנות את פיקדון יבנה אז ורק אז הנתבע היה מחויב לסגור את החשבון לאחר העברת כספי הפיקדון הנ"ל.</w:t>
      </w:r>
    </w:p>
    <w:p w:rsidR="00EA4C83" w:rsidRDefault="00EA4C83" w:rsidP="007200CC">
      <w:pPr>
        <w:pStyle w:val="ad"/>
        <w:jc w:val="both"/>
        <w:rPr>
          <w:rFonts w:ascii="Arial" w:hAnsi="Arial"/>
          <w:noProof w:val="0"/>
          <w:rtl/>
        </w:rPr>
      </w:pPr>
    </w:p>
    <w:p w:rsidR="00CB19A9" w:rsidRDefault="00EA4C83" w:rsidP="00756678">
      <w:pPr>
        <w:pStyle w:val="ad"/>
        <w:spacing w:line="360" w:lineRule="auto"/>
        <w:jc w:val="both"/>
        <w:rPr>
          <w:rFonts w:ascii="Arial" w:hAnsi="Arial"/>
          <w:noProof w:val="0"/>
          <w:rtl/>
        </w:rPr>
      </w:pPr>
      <w:r>
        <w:rPr>
          <w:rFonts w:ascii="Arial" w:hAnsi="Arial" w:hint="cs"/>
          <w:noProof w:val="0"/>
          <w:rtl/>
        </w:rPr>
        <w:t xml:space="preserve">כן טען הנתבע כי הוא הציע לנאמן שלוש הצעות חלופיות על מנת לפתור את ההפרות אשר הפר, </w:t>
      </w:r>
      <w:r w:rsidR="00684616">
        <w:rPr>
          <w:rFonts w:ascii="Arial" w:hAnsi="Arial" w:hint="cs"/>
          <w:noProof w:val="0"/>
          <w:rtl/>
        </w:rPr>
        <w:t>כל זאת בהתחשב בחובת הזהירות המוטלת על הבנק בניהול חשבון נאמנות, או</w:t>
      </w:r>
      <w:r>
        <w:rPr>
          <w:rFonts w:ascii="Arial" w:hAnsi="Arial" w:hint="cs"/>
          <w:noProof w:val="0"/>
          <w:rtl/>
        </w:rPr>
        <w:t xml:space="preserve">לם הנאמן התעקש שלא כדין לדחות אותן הצעות. ואלה הן ההצעות: </w:t>
      </w:r>
      <w:r w:rsidR="00684616">
        <w:rPr>
          <w:rFonts w:ascii="Arial" w:hAnsi="Arial" w:hint="cs"/>
          <w:noProof w:val="0"/>
          <w:rtl/>
        </w:rPr>
        <w:t xml:space="preserve">הראשונה, </w:t>
      </w:r>
      <w:r>
        <w:rPr>
          <w:rFonts w:ascii="Arial" w:hAnsi="Arial" w:hint="cs"/>
          <w:noProof w:val="0"/>
          <w:rtl/>
        </w:rPr>
        <w:t xml:space="preserve">פתיחת חשבון בנק על שם כל הנהנים </w:t>
      </w:r>
      <w:r>
        <w:rPr>
          <w:rFonts w:ascii="Arial" w:hAnsi="Arial"/>
          <w:noProof w:val="0"/>
          <w:rtl/>
        </w:rPr>
        <w:t>–</w:t>
      </w:r>
      <w:r>
        <w:rPr>
          <w:rFonts w:ascii="Arial" w:hAnsi="Arial" w:hint="cs"/>
          <w:noProof w:val="0"/>
          <w:rtl/>
        </w:rPr>
        <w:t xml:space="preserve"> התובע ואחיותיו </w:t>
      </w:r>
      <w:r w:rsidR="00756678">
        <w:rPr>
          <w:rFonts w:ascii="Arial" w:hAnsi="Arial" w:hint="cs"/>
          <w:noProof w:val="0"/>
          <w:rtl/>
        </w:rPr>
        <w:t xml:space="preserve">- </w:t>
      </w:r>
      <w:r>
        <w:rPr>
          <w:rFonts w:ascii="Arial" w:hAnsi="Arial" w:hint="cs"/>
          <w:noProof w:val="0"/>
          <w:rtl/>
        </w:rPr>
        <w:t>אליו יוע</w:t>
      </w:r>
      <w:r w:rsidR="00684616">
        <w:rPr>
          <w:rFonts w:ascii="Arial" w:hAnsi="Arial" w:hint="cs"/>
          <w:noProof w:val="0"/>
          <w:rtl/>
        </w:rPr>
        <w:t>בר פיקדון יבנה ובו יפעלו בעלי החשבון כאוות נפשם</w:t>
      </w:r>
      <w:r w:rsidR="00756678">
        <w:rPr>
          <w:rFonts w:ascii="Arial" w:hAnsi="Arial" w:hint="cs"/>
          <w:noProof w:val="0"/>
          <w:rtl/>
        </w:rPr>
        <w:t>.</w:t>
      </w:r>
      <w:r w:rsidR="00684616">
        <w:rPr>
          <w:rFonts w:ascii="Arial" w:hAnsi="Arial" w:hint="cs"/>
          <w:noProof w:val="0"/>
          <w:rtl/>
        </w:rPr>
        <w:t xml:space="preserve"> השנייה, אחיותיו של התובע תחתומנה בפני נוטריון על </w:t>
      </w:r>
      <w:r w:rsidR="0014700D">
        <w:rPr>
          <w:rFonts w:ascii="Arial" w:hAnsi="Arial" w:hint="cs"/>
          <w:noProof w:val="0"/>
          <w:rtl/>
        </w:rPr>
        <w:t>הסכמתן להעברת פיקדון יבנה לתובע</w:t>
      </w:r>
      <w:r w:rsidR="00756678">
        <w:rPr>
          <w:rFonts w:ascii="Arial" w:hAnsi="Arial" w:hint="cs"/>
          <w:noProof w:val="0"/>
          <w:rtl/>
        </w:rPr>
        <w:t>.</w:t>
      </w:r>
      <w:r w:rsidR="00684616">
        <w:rPr>
          <w:rFonts w:ascii="Arial" w:hAnsi="Arial" w:hint="cs"/>
          <w:noProof w:val="0"/>
          <w:rtl/>
        </w:rPr>
        <w:t xml:space="preserve"> השלישית, אחיותיו של התובע תחתומנה בפני נציג הנתבע על הסכמתן להעברת פיקדון יבנה לתובע. והנה, תחת קבלת אחת מההצעות הנ"ל, הנאמן פעל באופ</w:t>
      </w:r>
      <w:r w:rsidR="0014700D">
        <w:rPr>
          <w:rFonts w:ascii="Arial" w:hAnsi="Arial" w:hint="cs"/>
          <w:noProof w:val="0"/>
          <w:rtl/>
        </w:rPr>
        <w:t>ן</w:t>
      </w:r>
      <w:r w:rsidR="00684616">
        <w:rPr>
          <w:rFonts w:ascii="Arial" w:hAnsi="Arial" w:hint="cs"/>
          <w:noProof w:val="0"/>
          <w:rtl/>
        </w:rPr>
        <w:t xml:space="preserve"> </w:t>
      </w:r>
      <w:r w:rsidR="00684616">
        <w:rPr>
          <w:rFonts w:ascii="Arial" w:hAnsi="Arial" w:hint="cs"/>
          <w:noProof w:val="0"/>
          <w:rtl/>
        </w:rPr>
        <w:lastRenderedPageBreak/>
        <w:t>טרחני ובמקום למצוא פתרון ל</w:t>
      </w:r>
      <w:r w:rsidR="00756678">
        <w:rPr>
          <w:rFonts w:ascii="Arial" w:hAnsi="Arial" w:hint="cs"/>
          <w:noProof w:val="0"/>
          <w:rtl/>
        </w:rPr>
        <w:t>''</w:t>
      </w:r>
      <w:r w:rsidR="00684616">
        <w:rPr>
          <w:rFonts w:ascii="Arial" w:hAnsi="Arial" w:hint="cs"/>
          <w:noProof w:val="0"/>
          <w:rtl/>
        </w:rPr>
        <w:t>עבירות</w:t>
      </w:r>
      <w:r w:rsidR="00756678">
        <w:rPr>
          <w:rFonts w:ascii="Arial" w:hAnsi="Arial" w:hint="cs"/>
          <w:noProof w:val="0"/>
          <w:rtl/>
        </w:rPr>
        <w:t>''</w:t>
      </w:r>
      <w:r w:rsidR="00684616">
        <w:rPr>
          <w:rFonts w:ascii="Arial" w:hAnsi="Arial" w:hint="cs"/>
          <w:noProof w:val="0"/>
          <w:rtl/>
        </w:rPr>
        <w:t xml:space="preserve"> אשר עבר, הוא פנה לנתבע בשאלות ובירורים חסרי טעם. </w:t>
      </w:r>
    </w:p>
    <w:p w:rsidR="00684616" w:rsidRDefault="00684616" w:rsidP="00756678">
      <w:pPr>
        <w:pStyle w:val="ad"/>
        <w:jc w:val="both"/>
        <w:rPr>
          <w:rFonts w:ascii="Arial" w:hAnsi="Arial"/>
          <w:noProof w:val="0"/>
          <w:rtl/>
        </w:rPr>
      </w:pPr>
    </w:p>
    <w:p w:rsidR="0014700D" w:rsidRDefault="0014700D" w:rsidP="00756678">
      <w:pPr>
        <w:pStyle w:val="ad"/>
        <w:spacing w:line="360" w:lineRule="auto"/>
        <w:jc w:val="both"/>
        <w:rPr>
          <w:rFonts w:ascii="Arial" w:hAnsi="Arial"/>
          <w:noProof w:val="0"/>
          <w:rtl/>
        </w:rPr>
      </w:pPr>
      <w:r>
        <w:rPr>
          <w:rFonts w:ascii="Arial" w:hAnsi="Arial" w:hint="cs"/>
          <w:noProof w:val="0"/>
          <w:rtl/>
        </w:rPr>
        <w:t xml:space="preserve">ביחס לפיצוי שהתבקש, </w:t>
      </w:r>
      <w:r w:rsidR="00756678">
        <w:rPr>
          <w:rFonts w:ascii="Arial" w:hAnsi="Arial" w:hint="cs"/>
          <w:noProof w:val="0"/>
          <w:rtl/>
        </w:rPr>
        <w:t xml:space="preserve">הנתבע לא חזר </w:t>
      </w:r>
      <w:r>
        <w:rPr>
          <w:rFonts w:ascii="Arial" w:hAnsi="Arial" w:hint="cs"/>
          <w:noProof w:val="0"/>
          <w:rtl/>
        </w:rPr>
        <w:t xml:space="preserve">בסיכומיו על טענה אשר העלה בכתב הגנתו, לפיה על התובע לתמוך את טענתו לעניין ההפסד שנגרם לו בעקבות אי השקעת פיקדון יבנה בקרן אלפא בחוות דעת מומחה. בנסיבות העניין, כבר כעת יובהר כי יש לראות בנתבע כמי שזנח טענה זו. תחת זאת, כל שנטען בסעיף 91 לסיכומי הנתבע הוא </w:t>
      </w:r>
      <w:r w:rsidR="00F41D24">
        <w:rPr>
          <w:rFonts w:ascii="Arial" w:hAnsi="Arial" w:hint="cs"/>
          <w:b/>
          <w:bCs/>
          <w:noProof w:val="0"/>
          <w:rtl/>
        </w:rPr>
        <w:t>"</w:t>
      </w:r>
      <w:r w:rsidR="00756678">
        <w:rPr>
          <w:rFonts w:ascii="Arial" w:hAnsi="Arial" w:hint="cs"/>
          <w:b/>
          <w:bCs/>
          <w:noProof w:val="0"/>
          <w:rtl/>
        </w:rPr>
        <w:t xml:space="preserve">..... </w:t>
      </w:r>
      <w:r w:rsidR="00F41D24">
        <w:rPr>
          <w:rFonts w:ascii="Arial" w:hAnsi="Arial" w:hint="cs"/>
          <w:b/>
          <w:bCs/>
          <w:noProof w:val="0"/>
          <w:rtl/>
        </w:rPr>
        <w:t xml:space="preserve">באותה מידה יכול היה התובע לטעון, כי רצה להשקיע באופציות, בזהב או בביטקוין, מכאן הרי שיש לדחות את בקשתו על הסף". </w:t>
      </w:r>
      <w:r w:rsidR="00F41D24">
        <w:rPr>
          <w:rFonts w:ascii="Arial" w:hAnsi="Arial" w:hint="cs"/>
          <w:noProof w:val="0"/>
          <w:rtl/>
        </w:rPr>
        <w:t xml:space="preserve">לחילופין, ככל ותוטל אחריות על הנתבע, הוא מבקש לפסוק לתובע הפרשי הצמדה וריבית כחוק עבור העיכוב בשחרור פיקדון יבנה. </w:t>
      </w:r>
    </w:p>
    <w:p w:rsidR="00F41D24" w:rsidRDefault="00F41D24" w:rsidP="00756678">
      <w:pPr>
        <w:pStyle w:val="ad"/>
        <w:jc w:val="both"/>
        <w:rPr>
          <w:rFonts w:ascii="Arial" w:hAnsi="Arial"/>
          <w:noProof w:val="0"/>
          <w:rtl/>
        </w:rPr>
      </w:pPr>
    </w:p>
    <w:p w:rsidR="00F41D24" w:rsidRDefault="00F41D24" w:rsidP="00F41D24">
      <w:pPr>
        <w:pStyle w:val="ad"/>
        <w:spacing w:line="360" w:lineRule="auto"/>
        <w:ind w:hanging="720"/>
        <w:jc w:val="both"/>
        <w:rPr>
          <w:rFonts w:ascii="Arial" w:hAnsi="Arial"/>
          <w:b/>
          <w:bCs/>
          <w:noProof w:val="0"/>
          <w:u w:val="single"/>
          <w:rtl/>
        </w:rPr>
      </w:pPr>
      <w:r>
        <w:rPr>
          <w:rFonts w:ascii="Arial" w:hAnsi="Arial" w:hint="cs"/>
          <w:b/>
          <w:bCs/>
          <w:noProof w:val="0"/>
          <w:u w:val="single"/>
          <w:rtl/>
        </w:rPr>
        <w:t>דיון:</w:t>
      </w:r>
    </w:p>
    <w:p w:rsidR="00F41D24" w:rsidRPr="00F41D24" w:rsidRDefault="00F41D24" w:rsidP="00756678">
      <w:pPr>
        <w:pStyle w:val="ad"/>
        <w:ind w:hanging="720"/>
        <w:jc w:val="both"/>
        <w:rPr>
          <w:rFonts w:ascii="Arial" w:hAnsi="Arial"/>
          <w:b/>
          <w:bCs/>
          <w:noProof w:val="0"/>
          <w:u w:val="single"/>
          <w:rtl/>
        </w:rPr>
      </w:pPr>
    </w:p>
    <w:p w:rsidR="00144A14" w:rsidRDefault="00F41D24" w:rsidP="002C7738">
      <w:pPr>
        <w:pStyle w:val="ad"/>
        <w:numPr>
          <w:ilvl w:val="0"/>
          <w:numId w:val="1"/>
        </w:numPr>
        <w:spacing w:line="360" w:lineRule="auto"/>
        <w:jc w:val="both"/>
        <w:rPr>
          <w:rFonts w:ascii="Arial" w:hAnsi="Arial"/>
          <w:noProof w:val="0"/>
        </w:rPr>
      </w:pPr>
      <w:r>
        <w:rPr>
          <w:rFonts w:ascii="Arial" w:hAnsi="Arial" w:hint="cs"/>
          <w:noProof w:val="0"/>
          <w:rtl/>
        </w:rPr>
        <w:t xml:space="preserve">על מנת לעמוד על המחלוקת האמיתית בין בעלי הדין, ראוי להפנות להתכתבות שהיתה ביניהם בזמן אמת, כמו גם לטענות המפורטות </w:t>
      </w:r>
      <w:r w:rsidR="00756678">
        <w:rPr>
          <w:rFonts w:ascii="Arial" w:hAnsi="Arial" w:hint="cs"/>
          <w:noProof w:val="0"/>
          <w:rtl/>
        </w:rPr>
        <w:t>ב</w:t>
      </w:r>
      <w:r>
        <w:rPr>
          <w:rFonts w:ascii="Arial" w:hAnsi="Arial" w:hint="cs"/>
          <w:noProof w:val="0"/>
          <w:rtl/>
        </w:rPr>
        <w:t xml:space="preserve">כתב ההגנה. אולם, טרם ייעשה הדבר, </w:t>
      </w:r>
      <w:r w:rsidR="00384472">
        <w:rPr>
          <w:rFonts w:ascii="Arial" w:hAnsi="Arial" w:hint="cs"/>
          <w:noProof w:val="0"/>
          <w:rtl/>
        </w:rPr>
        <w:t xml:space="preserve">יש </w:t>
      </w:r>
      <w:r>
        <w:rPr>
          <w:rFonts w:ascii="Arial" w:hAnsi="Arial" w:hint="cs"/>
          <w:noProof w:val="0"/>
          <w:rtl/>
        </w:rPr>
        <w:t xml:space="preserve"> להבהיר כי בכתב ההגנה נפלה טעות כאשר הנתבע התייחס במסגרתו ל</w:t>
      </w:r>
      <w:r w:rsidR="00384472">
        <w:rPr>
          <w:rFonts w:ascii="Arial" w:hAnsi="Arial" w:hint="cs"/>
          <w:noProof w:val="0"/>
          <w:rtl/>
        </w:rPr>
        <w:t xml:space="preserve">עסקת אמנון ותמר כאילו </w:t>
      </w:r>
      <w:r>
        <w:rPr>
          <w:rFonts w:ascii="Arial" w:hAnsi="Arial" w:hint="cs"/>
          <w:noProof w:val="0"/>
          <w:rtl/>
        </w:rPr>
        <w:t>מדובר ב</w:t>
      </w:r>
      <w:r w:rsidR="00384472">
        <w:rPr>
          <w:rFonts w:ascii="Arial" w:hAnsi="Arial" w:hint="cs"/>
          <w:noProof w:val="0"/>
          <w:rtl/>
        </w:rPr>
        <w:t>עסקת</w:t>
      </w:r>
      <w:r>
        <w:rPr>
          <w:rFonts w:ascii="Arial" w:hAnsi="Arial" w:hint="cs"/>
          <w:noProof w:val="0"/>
          <w:rtl/>
        </w:rPr>
        <w:t xml:space="preserve"> יבנה ול</w:t>
      </w:r>
      <w:r w:rsidR="00384472">
        <w:rPr>
          <w:rFonts w:ascii="Arial" w:hAnsi="Arial" w:hint="cs"/>
          <w:noProof w:val="0"/>
          <w:rtl/>
        </w:rPr>
        <w:t xml:space="preserve">עסקת </w:t>
      </w:r>
      <w:r>
        <w:rPr>
          <w:rFonts w:ascii="Arial" w:hAnsi="Arial" w:hint="cs"/>
          <w:noProof w:val="0"/>
          <w:rtl/>
        </w:rPr>
        <w:t>יבנה הוא התייחס כאילו מדובר ב</w:t>
      </w:r>
      <w:r w:rsidR="00384472">
        <w:rPr>
          <w:rFonts w:ascii="Arial" w:hAnsi="Arial" w:hint="cs"/>
          <w:noProof w:val="0"/>
          <w:rtl/>
        </w:rPr>
        <w:t>עסקת</w:t>
      </w:r>
      <w:r>
        <w:rPr>
          <w:rFonts w:ascii="Arial" w:hAnsi="Arial" w:hint="cs"/>
          <w:noProof w:val="0"/>
          <w:rtl/>
        </w:rPr>
        <w:t xml:space="preserve"> אמנון תמר. בחקירתו הנגדית נשאל מנהל סניף מרכז הכרמל של הנתבע, מר פרדי אוביץ </w:t>
      </w:r>
      <w:r w:rsidRPr="00F41D24">
        <w:rPr>
          <w:rFonts w:ascii="Arial" w:hAnsi="Arial" w:hint="cs"/>
          <w:b/>
          <w:bCs/>
          <w:noProof w:val="0"/>
          <w:rtl/>
        </w:rPr>
        <w:t>(להלן: "מנהל הסניף")</w:t>
      </w:r>
      <w:r>
        <w:rPr>
          <w:rFonts w:ascii="Arial" w:hAnsi="Arial" w:hint="cs"/>
          <w:noProof w:val="0"/>
          <w:rtl/>
        </w:rPr>
        <w:t xml:space="preserve"> לעניין זה, והיא אישר </w:t>
      </w:r>
      <w:r w:rsidR="00384472">
        <w:rPr>
          <w:rFonts w:ascii="Arial" w:hAnsi="Arial" w:hint="cs"/>
          <w:noProof w:val="0"/>
          <w:rtl/>
        </w:rPr>
        <w:t>את הטעות בנדון</w:t>
      </w:r>
      <w:r>
        <w:rPr>
          <w:rFonts w:ascii="Arial" w:hAnsi="Arial" w:hint="cs"/>
          <w:noProof w:val="0"/>
          <w:rtl/>
        </w:rPr>
        <w:t xml:space="preserve"> (שם, עמ' 14 שורה 24 ועמוד 18 שורה 1 לפרוטוקול הדיון). </w:t>
      </w:r>
    </w:p>
    <w:p w:rsidR="00F41D24" w:rsidRPr="002C7738" w:rsidRDefault="00F41D24" w:rsidP="002C7738">
      <w:pPr>
        <w:pStyle w:val="ad"/>
        <w:jc w:val="both"/>
        <w:rPr>
          <w:rFonts w:ascii="Arial" w:hAnsi="Arial"/>
          <w:noProof w:val="0"/>
        </w:rPr>
      </w:pPr>
    </w:p>
    <w:p w:rsidR="00F41D24" w:rsidRDefault="00F41D24" w:rsidP="002C7738">
      <w:pPr>
        <w:pStyle w:val="ad"/>
        <w:numPr>
          <w:ilvl w:val="0"/>
          <w:numId w:val="1"/>
        </w:numPr>
        <w:spacing w:line="360" w:lineRule="auto"/>
        <w:jc w:val="both"/>
        <w:rPr>
          <w:rFonts w:ascii="Arial" w:hAnsi="Arial"/>
          <w:noProof w:val="0"/>
        </w:rPr>
      </w:pPr>
      <w:r>
        <w:rPr>
          <w:rFonts w:ascii="Arial" w:hAnsi="Arial" w:hint="cs"/>
          <w:noProof w:val="0"/>
          <w:rtl/>
        </w:rPr>
        <w:t>התובע צירף לכתב התביעה</w:t>
      </w:r>
      <w:r w:rsidR="005C294E">
        <w:rPr>
          <w:rFonts w:ascii="Arial" w:hAnsi="Arial" w:hint="cs"/>
          <w:noProof w:val="0"/>
          <w:rtl/>
        </w:rPr>
        <w:t xml:space="preserve"> את חליפת המכתבים בין הצדדים טרם הגשת התביעה, לרבות פניותיו לנתבע להעברת פיקדון יבנה לחשבונו. בסעיפים 1-2 למכתבו מיום 10.07.2019, נספח 20 לכתב התביעה, השיב הנתבע לאותה פניה באומרו: </w:t>
      </w:r>
    </w:p>
    <w:p w:rsidR="005C294E" w:rsidRPr="005C294E" w:rsidRDefault="005C294E" w:rsidP="005C294E">
      <w:pPr>
        <w:pStyle w:val="ad"/>
        <w:rPr>
          <w:rFonts w:ascii="Arial" w:hAnsi="Arial"/>
          <w:noProof w:val="0"/>
          <w:rtl/>
        </w:rPr>
      </w:pPr>
    </w:p>
    <w:p w:rsidR="005C294E" w:rsidRDefault="005C294E" w:rsidP="005C294E">
      <w:pPr>
        <w:pStyle w:val="ad"/>
        <w:spacing w:line="360" w:lineRule="auto"/>
        <w:ind w:left="1842" w:hanging="402"/>
        <w:jc w:val="both"/>
        <w:rPr>
          <w:rFonts w:ascii="Arial" w:hAnsi="Arial"/>
          <w:b/>
          <w:bCs/>
          <w:noProof w:val="0"/>
          <w:rtl/>
        </w:rPr>
      </w:pPr>
      <w:r>
        <w:rPr>
          <w:rFonts w:ascii="Arial" w:hAnsi="Arial" w:hint="cs"/>
          <w:b/>
          <w:bCs/>
          <w:noProof w:val="0"/>
          <w:rtl/>
        </w:rPr>
        <w:t>"1.  בחודש אוקטובר 2018 הועברו כספי הנאמנות של מר שריג בנימין אל חשבון נאמנות שפתחת בעבר הרחוק (בו הוגדר הוא כ-'נהנה' יחד עם נהנות נוספות), כשלא הייתה כל זיקה בין הכספים המועברים לנסיבות בגינן נפתח אותו חשבון. פעולה זו בוצעה בניגוד לדין ולכללי הבנק...</w:t>
      </w:r>
    </w:p>
    <w:p w:rsidR="005C294E" w:rsidRDefault="005C294E" w:rsidP="005C294E">
      <w:pPr>
        <w:pStyle w:val="ad"/>
        <w:spacing w:line="360" w:lineRule="auto"/>
        <w:ind w:left="1842" w:hanging="402"/>
        <w:jc w:val="both"/>
        <w:rPr>
          <w:rFonts w:ascii="Arial" w:hAnsi="Arial"/>
          <w:noProof w:val="0"/>
          <w:rtl/>
        </w:rPr>
      </w:pPr>
      <w:r>
        <w:rPr>
          <w:rFonts w:ascii="Arial" w:hAnsi="Arial" w:hint="cs"/>
          <w:b/>
          <w:bCs/>
          <w:noProof w:val="0"/>
          <w:rtl/>
        </w:rPr>
        <w:t>2.   באותה עת, הבהיר לך הבנק חזור ושנה שאין ביכולתך להעביר הכספים אל חשבון נאמנות מהעבר הרחוק, שלא נפתח במיוחד בעבור העברה זו (ובוודאי כאשר בחשבון קיימים נהנים נוספים שאינם קשורים לעסקה החדשה בגינה הועברו הכספים</w:t>
      </w:r>
      <w:r w:rsidR="00ED7C78">
        <w:rPr>
          <w:rFonts w:ascii="Arial" w:hAnsi="Arial" w:hint="cs"/>
          <w:b/>
          <w:bCs/>
          <w:noProof w:val="0"/>
          <w:rtl/>
        </w:rPr>
        <w:t>)..."</w:t>
      </w:r>
      <w:r w:rsidR="00ED7C78">
        <w:rPr>
          <w:rFonts w:ascii="Arial" w:hAnsi="Arial" w:hint="cs"/>
          <w:noProof w:val="0"/>
          <w:rtl/>
        </w:rPr>
        <w:t>.</w:t>
      </w:r>
    </w:p>
    <w:p w:rsidR="00ED7C78" w:rsidRDefault="00ED7C78" w:rsidP="002C7738">
      <w:pPr>
        <w:jc w:val="both"/>
        <w:rPr>
          <w:rFonts w:ascii="Arial" w:hAnsi="Arial"/>
          <w:noProof w:val="0"/>
          <w:rtl/>
        </w:rPr>
      </w:pPr>
    </w:p>
    <w:p w:rsidR="00ED7C78" w:rsidRDefault="00ED7C78" w:rsidP="002C7738">
      <w:pPr>
        <w:spacing w:line="360" w:lineRule="auto"/>
        <w:ind w:left="720"/>
        <w:jc w:val="both"/>
        <w:rPr>
          <w:rFonts w:ascii="Arial" w:hAnsi="Arial"/>
          <w:noProof w:val="0"/>
          <w:rtl/>
        </w:rPr>
      </w:pPr>
      <w:r>
        <w:rPr>
          <w:rFonts w:ascii="Arial" w:hAnsi="Arial" w:hint="cs"/>
          <w:noProof w:val="0"/>
          <w:rtl/>
        </w:rPr>
        <w:t xml:space="preserve">יתרה מכך, משפנה הנאמן לנתבע בבקשה להבהיר מספר טיעונים שעלו במכתבו לעיל, השיב האחרון במכתבו מיום 18.07.2019, נספח 22 לכתב התביעה, ובסעיף 2 לאותו מכתב, </w:t>
      </w:r>
      <w:r w:rsidR="002C7738">
        <w:rPr>
          <w:rFonts w:ascii="Arial" w:hAnsi="Arial" w:hint="cs"/>
          <w:noProof w:val="0"/>
          <w:rtl/>
        </w:rPr>
        <w:t>נטען כדלקמן</w:t>
      </w:r>
      <w:r>
        <w:rPr>
          <w:rFonts w:ascii="Arial" w:hAnsi="Arial" w:hint="cs"/>
          <w:noProof w:val="0"/>
          <w:rtl/>
        </w:rPr>
        <w:t>:</w:t>
      </w:r>
    </w:p>
    <w:p w:rsidR="00ED7C78" w:rsidRPr="00E64D6A" w:rsidRDefault="00ED7C78" w:rsidP="00ED7C78">
      <w:pPr>
        <w:spacing w:line="360" w:lineRule="auto"/>
        <w:ind w:left="1440"/>
        <w:jc w:val="both"/>
        <w:rPr>
          <w:rFonts w:ascii="Arial" w:hAnsi="Arial"/>
          <w:noProof w:val="0"/>
        </w:rPr>
      </w:pPr>
      <w:r>
        <w:rPr>
          <w:rFonts w:ascii="Arial" w:hAnsi="Arial" w:hint="cs"/>
          <w:b/>
          <w:bCs/>
          <w:noProof w:val="0"/>
          <w:rtl/>
        </w:rPr>
        <w:lastRenderedPageBreak/>
        <w:t>"יחד עם זאת ובמענה לשאלותיך, ישיב הבנק כי בהתאם (בין היתר)</w:t>
      </w:r>
      <w:r w:rsidR="00E64D6A">
        <w:rPr>
          <w:rFonts w:ascii="Arial" w:hAnsi="Arial" w:hint="cs"/>
          <w:b/>
          <w:bCs/>
          <w:noProof w:val="0"/>
          <w:rtl/>
        </w:rPr>
        <w:t xml:space="preserve"> לסעיפים</w:t>
      </w:r>
      <w:r>
        <w:rPr>
          <w:rFonts w:ascii="Arial" w:hAnsi="Arial" w:hint="cs"/>
          <w:b/>
          <w:bCs/>
          <w:noProof w:val="0"/>
          <w:rtl/>
        </w:rPr>
        <w:t xml:space="preserve"> 3ג' ו-7 לחוק הנאמנות, תשל"ט-1979, כמו גם סעיפים 2א' ו-4 לצו איסור הלבנת הון (חובת זיהוי, דיווח וניהול רישומים של תאגידים בנקאיים למניעת הלבנת הון ומימון טרור), תשס"א-2001, מחויב הנאמן לייחד חשבון נאמנות לכל עסקה בגינה יחזיק בכספי נאמנות</w:t>
      </w:r>
      <w:r w:rsidR="00E64D6A">
        <w:rPr>
          <w:rFonts w:ascii="Arial" w:hAnsi="Arial" w:hint="cs"/>
          <w:b/>
          <w:bCs/>
          <w:noProof w:val="0"/>
          <w:rtl/>
        </w:rPr>
        <w:t>"</w:t>
      </w:r>
      <w:r w:rsidR="00E64D6A">
        <w:rPr>
          <w:rFonts w:ascii="Arial" w:hAnsi="Arial" w:hint="cs"/>
          <w:noProof w:val="0"/>
          <w:rtl/>
        </w:rPr>
        <w:t xml:space="preserve">. </w:t>
      </w:r>
    </w:p>
    <w:p w:rsidR="005C294E" w:rsidRDefault="005C294E" w:rsidP="005C294E">
      <w:pPr>
        <w:pStyle w:val="ad"/>
        <w:rPr>
          <w:rFonts w:ascii="Arial" w:hAnsi="Arial"/>
          <w:noProof w:val="0"/>
          <w:rtl/>
        </w:rPr>
      </w:pPr>
    </w:p>
    <w:p w:rsidR="00E64D6A" w:rsidRDefault="00E64D6A" w:rsidP="0076111B">
      <w:pPr>
        <w:pStyle w:val="ad"/>
        <w:spacing w:line="360" w:lineRule="auto"/>
        <w:jc w:val="both"/>
        <w:rPr>
          <w:rFonts w:ascii="Arial" w:hAnsi="Arial"/>
          <w:noProof w:val="0"/>
          <w:rtl/>
        </w:rPr>
      </w:pPr>
      <w:r>
        <w:rPr>
          <w:rFonts w:ascii="Arial" w:hAnsi="Arial" w:hint="cs"/>
          <w:noProof w:val="0"/>
          <w:rtl/>
        </w:rPr>
        <w:t xml:space="preserve">הנה אם כן, טיעון הנתבע ולפיו חובה לייחד חשבון נאמנות לכל עסקה, עלה ברחל בתך הקטנה בהתכתבויות אשר קדמו להגשת התביעה. יתרה מכך, טיעון </w:t>
      </w:r>
      <w:r w:rsidR="0076111B">
        <w:rPr>
          <w:rFonts w:ascii="Arial" w:hAnsi="Arial" w:hint="cs"/>
          <w:noProof w:val="0"/>
          <w:rtl/>
        </w:rPr>
        <w:t>ז</w:t>
      </w:r>
      <w:r>
        <w:rPr>
          <w:rFonts w:ascii="Arial" w:hAnsi="Arial" w:hint="cs"/>
          <w:noProof w:val="0"/>
          <w:rtl/>
        </w:rPr>
        <w:t xml:space="preserve">ה עלה לכל אורכו ורוחבו של כתב ההגנה. כך לדוגמא, בס"ק </w:t>
      </w:r>
      <w:r w:rsidR="0076111B">
        <w:rPr>
          <w:rFonts w:ascii="Arial" w:hAnsi="Arial" w:hint="cs"/>
          <w:noProof w:val="0"/>
          <w:rtl/>
        </w:rPr>
        <w:t xml:space="preserve">4(ו) סיפא </w:t>
      </w:r>
      <w:r>
        <w:rPr>
          <w:rFonts w:ascii="Arial" w:hAnsi="Arial" w:hint="cs"/>
          <w:noProof w:val="0"/>
          <w:rtl/>
        </w:rPr>
        <w:t>לכתב ההגנה, טען הנתבע באומרו:</w:t>
      </w:r>
    </w:p>
    <w:p w:rsidR="00E64D6A" w:rsidRDefault="00E64D6A" w:rsidP="002C7738">
      <w:pPr>
        <w:pStyle w:val="ad"/>
        <w:jc w:val="both"/>
        <w:rPr>
          <w:rFonts w:ascii="Arial" w:hAnsi="Arial"/>
          <w:noProof w:val="0"/>
          <w:rtl/>
        </w:rPr>
      </w:pPr>
    </w:p>
    <w:p w:rsidR="00E64D6A" w:rsidRDefault="00E64D6A" w:rsidP="008B64FB">
      <w:pPr>
        <w:pStyle w:val="ad"/>
        <w:spacing w:line="360" w:lineRule="auto"/>
        <w:ind w:left="1440"/>
        <w:jc w:val="both"/>
        <w:rPr>
          <w:rFonts w:ascii="Arial" w:hAnsi="Arial"/>
          <w:b/>
          <w:bCs/>
          <w:noProof w:val="0"/>
          <w:rtl/>
        </w:rPr>
      </w:pPr>
      <w:r>
        <w:rPr>
          <w:rFonts w:ascii="Arial" w:hAnsi="Arial" w:hint="cs"/>
          <w:b/>
          <w:bCs/>
          <w:noProof w:val="0"/>
          <w:rtl/>
        </w:rPr>
        <w:t>"</w:t>
      </w:r>
      <w:r w:rsidR="008B64FB">
        <w:rPr>
          <w:rFonts w:ascii="Arial" w:hAnsi="Arial" w:hint="cs"/>
          <w:b/>
          <w:bCs/>
          <w:noProof w:val="0"/>
          <w:rtl/>
        </w:rPr>
        <w:t xml:space="preserve">יחד עם זאת, טרח הבנק והבהיר לעו"ד פלק כי הפקדות לחשבון נאמנות ספציפי שהסתיימה, בגין עסקה אחרת הינן בניגוד לדין, בוודאי ובמיוחד כאשר בחשבון הנאמנות הספציפי קיימים נהנים נוספים שאינם קשורים לעסקה נשוא ההעברה החדשה ועל עוה"ד לפתוח חשבון נאמנות ספציפי בגין עסקה חדשה ככל שקיימת, ולדווח לחשבון הנאמנות החדש מיהם הנהנים בקשר עם העסקה הספציפית". </w:t>
      </w:r>
    </w:p>
    <w:p w:rsidR="008B64FB" w:rsidRPr="00E64D6A" w:rsidRDefault="008B64FB" w:rsidP="0076111B">
      <w:pPr>
        <w:pStyle w:val="ad"/>
        <w:ind w:left="1440"/>
        <w:jc w:val="both"/>
        <w:rPr>
          <w:rFonts w:ascii="Arial" w:hAnsi="Arial"/>
          <w:b/>
          <w:bCs/>
          <w:noProof w:val="0"/>
          <w:rtl/>
        </w:rPr>
      </w:pPr>
    </w:p>
    <w:p w:rsidR="005C294E" w:rsidRDefault="008B64FB" w:rsidP="00505313">
      <w:pPr>
        <w:pStyle w:val="ad"/>
        <w:spacing w:line="360" w:lineRule="auto"/>
        <w:jc w:val="both"/>
        <w:rPr>
          <w:rFonts w:ascii="Arial" w:hAnsi="Arial"/>
          <w:noProof w:val="0"/>
        </w:rPr>
      </w:pPr>
      <w:r>
        <w:rPr>
          <w:rFonts w:ascii="Arial" w:hAnsi="Arial" w:hint="cs"/>
          <w:noProof w:val="0"/>
          <w:rtl/>
        </w:rPr>
        <w:t>והנה, טענתו הנחרצת של הנתבע כאילו יש לפתוח חשבון נאמנות ייחודי לכל עסקה, כמצוטט לעיל, השתכללה ורוככה בסעיף 29 לסיכומיו, שם נאמר כדלקמן:</w:t>
      </w:r>
    </w:p>
    <w:p w:rsidR="008B64FB" w:rsidRDefault="008B64FB" w:rsidP="0076111B">
      <w:pPr>
        <w:pStyle w:val="ad"/>
        <w:jc w:val="both"/>
        <w:rPr>
          <w:rFonts w:ascii="Arial" w:hAnsi="Arial"/>
          <w:noProof w:val="0"/>
          <w:rtl/>
        </w:rPr>
      </w:pPr>
    </w:p>
    <w:p w:rsidR="008B64FB" w:rsidRDefault="008B64FB" w:rsidP="008B64FB">
      <w:pPr>
        <w:pStyle w:val="ad"/>
        <w:spacing w:line="360" w:lineRule="auto"/>
        <w:ind w:left="1440"/>
        <w:jc w:val="both"/>
        <w:rPr>
          <w:rFonts w:ascii="Arial" w:hAnsi="Arial"/>
          <w:b/>
          <w:bCs/>
          <w:noProof w:val="0"/>
          <w:rtl/>
        </w:rPr>
      </w:pPr>
      <w:r>
        <w:rPr>
          <w:rFonts w:ascii="Arial" w:hAnsi="Arial" w:hint="cs"/>
          <w:b/>
          <w:bCs/>
          <w:noProof w:val="0"/>
          <w:rtl/>
        </w:rPr>
        <w:t xml:space="preserve">"יאמר כבר כאן באופן מפורש. אין כל חובה לייחד חשבון נאמנות נפרד לכל עסקת מקרקעין וניתן לעשות שימוש בחשבון הנאמנות לצורך מספר עסקאות ואולם אפשרות זו קיימת רק מקום בו קיימת זהות מוחלטת ומלאה בין הצד הרלוונטי לעסקת המקרקעין לבין הנהנים בחשבון הנאמנות". </w:t>
      </w:r>
    </w:p>
    <w:p w:rsidR="008B64FB" w:rsidRDefault="008B64FB" w:rsidP="0076111B">
      <w:pPr>
        <w:jc w:val="both"/>
        <w:rPr>
          <w:rFonts w:ascii="Arial" w:hAnsi="Arial"/>
          <w:b/>
          <w:bCs/>
          <w:noProof w:val="0"/>
          <w:rtl/>
        </w:rPr>
      </w:pPr>
    </w:p>
    <w:p w:rsidR="008B64FB" w:rsidRDefault="00047936" w:rsidP="00047936">
      <w:pPr>
        <w:spacing w:line="360" w:lineRule="auto"/>
        <w:ind w:left="720"/>
        <w:jc w:val="both"/>
        <w:rPr>
          <w:rFonts w:ascii="Arial" w:hAnsi="Arial"/>
          <w:noProof w:val="0"/>
          <w:rtl/>
        </w:rPr>
      </w:pPr>
      <w:r>
        <w:rPr>
          <w:rFonts w:ascii="Arial" w:hAnsi="Arial" w:hint="cs"/>
          <w:noProof w:val="0"/>
          <w:rtl/>
        </w:rPr>
        <w:t xml:space="preserve">מעבר לחוסר הרצינות בהעלאת טענה נחרצת, וריכוכה בהמשך, נראה להלן כי הנתבע אינו מצביע על כל הוראה בדין לתמיכה בעמדתו החדשה. </w:t>
      </w:r>
    </w:p>
    <w:p w:rsidR="00047936" w:rsidRPr="00047936" w:rsidRDefault="00047936" w:rsidP="0076111B">
      <w:pPr>
        <w:ind w:left="720"/>
        <w:jc w:val="both"/>
        <w:rPr>
          <w:rFonts w:ascii="Arial" w:hAnsi="Arial"/>
          <w:noProof w:val="0"/>
        </w:rPr>
      </w:pPr>
    </w:p>
    <w:p w:rsidR="00F41D24" w:rsidRDefault="004E1D08" w:rsidP="00E64D6A">
      <w:pPr>
        <w:pStyle w:val="ad"/>
        <w:numPr>
          <w:ilvl w:val="0"/>
          <w:numId w:val="1"/>
        </w:numPr>
        <w:spacing w:line="360" w:lineRule="auto"/>
        <w:jc w:val="both"/>
        <w:rPr>
          <w:rFonts w:ascii="Arial" w:hAnsi="Arial"/>
          <w:noProof w:val="0"/>
        </w:rPr>
      </w:pPr>
      <w:r>
        <w:rPr>
          <w:rFonts w:ascii="Arial" w:hAnsi="Arial" w:hint="cs"/>
          <w:noProof w:val="0"/>
          <w:rtl/>
        </w:rPr>
        <w:t>לתמיכה בטענתו "המרוככת" כמצוטט לעיל, הפנה הנתבע לסעיפים 2א' ו-4 לצו איסור הלבנת הון, בהם נקבע כדלקמן:</w:t>
      </w:r>
    </w:p>
    <w:p w:rsidR="004E1D08" w:rsidRDefault="004E1D08" w:rsidP="0076111B">
      <w:pPr>
        <w:pStyle w:val="ad"/>
        <w:jc w:val="both"/>
        <w:rPr>
          <w:rFonts w:ascii="Arial" w:hAnsi="Arial"/>
          <w:noProof w:val="0"/>
          <w:rtl/>
        </w:rPr>
      </w:pPr>
    </w:p>
    <w:p w:rsidR="007474B7" w:rsidRPr="007474B7" w:rsidRDefault="007474B7" w:rsidP="00FC56DC">
      <w:pPr>
        <w:shd w:val="clear" w:color="auto" w:fill="FFFFFF"/>
        <w:spacing w:line="360" w:lineRule="auto"/>
        <w:ind w:left="1701" w:hanging="621"/>
        <w:jc w:val="both"/>
        <w:rPr>
          <w:rFonts w:ascii="David" w:hAnsi="David"/>
          <w:b/>
          <w:bCs/>
          <w:noProof w:val="0"/>
          <w:rtl/>
        </w:rPr>
      </w:pPr>
      <w:r>
        <w:rPr>
          <w:rFonts w:ascii="David" w:hAnsi="David" w:hint="cs"/>
          <w:b/>
          <w:bCs/>
          <w:noProof w:val="0"/>
          <w:rtl/>
        </w:rPr>
        <w:t>"2</w:t>
      </w:r>
      <w:r w:rsidR="00FC56DC">
        <w:rPr>
          <w:rFonts w:ascii="David" w:hAnsi="David" w:hint="cs"/>
          <w:b/>
          <w:bCs/>
          <w:noProof w:val="0"/>
          <w:rtl/>
        </w:rPr>
        <w:t>א</w:t>
      </w:r>
      <w:r w:rsidRPr="007474B7">
        <w:rPr>
          <w:rFonts w:ascii="David" w:hAnsi="David"/>
          <w:b/>
          <w:bCs/>
          <w:noProof w:val="0"/>
          <w:rtl/>
        </w:rPr>
        <w:t>(א)</w:t>
      </w:r>
      <w:r>
        <w:rPr>
          <w:rFonts w:ascii="David" w:hAnsi="David" w:hint="cs"/>
          <w:b/>
          <w:bCs/>
          <w:noProof w:val="0"/>
          <w:rtl/>
        </w:rPr>
        <w:t xml:space="preserve"> </w:t>
      </w:r>
      <w:r w:rsidRPr="007474B7">
        <w:rPr>
          <w:rFonts w:ascii="David" w:hAnsi="David"/>
          <w:b/>
          <w:bCs/>
          <w:noProof w:val="0"/>
          <w:rtl/>
        </w:rPr>
        <w:t xml:space="preserve">לא יפתח תאגיד בנקאי חשבון ולא יבצע פעולה שאינה נרשמת בחשבון, בלא </w:t>
      </w:r>
      <w:r w:rsidR="00FC56DC">
        <w:rPr>
          <w:rFonts w:ascii="David" w:hAnsi="David" w:hint="cs"/>
          <w:b/>
          <w:bCs/>
          <w:noProof w:val="0"/>
          <w:rtl/>
        </w:rPr>
        <w:t xml:space="preserve"> </w:t>
      </w:r>
      <w:r w:rsidRPr="007474B7">
        <w:rPr>
          <w:rFonts w:ascii="David" w:hAnsi="David"/>
          <w:b/>
          <w:bCs/>
          <w:noProof w:val="0"/>
          <w:rtl/>
        </w:rPr>
        <w:t xml:space="preserve">שזיהה את מקבל השירות ובלא שביצע לגביו </w:t>
      </w:r>
      <w:r w:rsidR="00FC56DC">
        <w:rPr>
          <w:rFonts w:ascii="David" w:hAnsi="David" w:hint="cs"/>
          <w:b/>
          <w:bCs/>
          <w:noProof w:val="0"/>
          <w:rtl/>
        </w:rPr>
        <w:t>'</w:t>
      </w:r>
      <w:r w:rsidRPr="007474B7">
        <w:rPr>
          <w:rFonts w:ascii="David" w:hAnsi="David"/>
          <w:b/>
          <w:bCs/>
          <w:noProof w:val="0"/>
          <w:rtl/>
        </w:rPr>
        <w:t>הליך של הכרת הלקוח</w:t>
      </w:r>
      <w:r w:rsidR="00FC56DC">
        <w:rPr>
          <w:rFonts w:ascii="David" w:hAnsi="David" w:hint="cs"/>
          <w:b/>
          <w:bCs/>
          <w:noProof w:val="0"/>
          <w:rtl/>
        </w:rPr>
        <w:t>'</w:t>
      </w:r>
      <w:r w:rsidRPr="007474B7">
        <w:rPr>
          <w:rFonts w:ascii="David" w:hAnsi="David"/>
          <w:b/>
          <w:bCs/>
          <w:noProof w:val="0"/>
          <w:rtl/>
        </w:rPr>
        <w:t xml:space="preserve"> לפי מידת הסיכון שלו להלבנת הון ומימון טרור; לעניין זה, </w:t>
      </w:r>
      <w:r w:rsidR="00FC56DC">
        <w:rPr>
          <w:rFonts w:ascii="David" w:hAnsi="David" w:hint="cs"/>
          <w:b/>
          <w:bCs/>
          <w:noProof w:val="0"/>
          <w:rtl/>
        </w:rPr>
        <w:t>'</w:t>
      </w:r>
      <w:r w:rsidRPr="007474B7">
        <w:rPr>
          <w:rFonts w:ascii="David" w:hAnsi="David"/>
          <w:b/>
          <w:bCs/>
          <w:noProof w:val="0"/>
          <w:rtl/>
        </w:rPr>
        <w:t>הליך של הכרת הלקוח</w:t>
      </w:r>
      <w:r w:rsidR="00FC56DC">
        <w:rPr>
          <w:rFonts w:ascii="David" w:hAnsi="David" w:hint="cs"/>
          <w:b/>
          <w:bCs/>
          <w:noProof w:val="0"/>
          <w:rtl/>
        </w:rPr>
        <w:t>'</w:t>
      </w:r>
      <w:r w:rsidRPr="007474B7">
        <w:rPr>
          <w:rFonts w:ascii="David" w:hAnsi="David"/>
          <w:b/>
          <w:bCs/>
          <w:noProof w:val="0"/>
          <w:rtl/>
        </w:rPr>
        <w:t xml:space="preserve"> – בין השאר בירור מקור הכספים, עיסוקו, מטרת פתיחת החשבון או ביצוע הפעולה, הפעילות המתוכננת בחשבון, ואם סורב מבקש השירות למתן שירותים בתאגיד בנקאי מסיבות הקשורות לאיסור הלבנת הון ומימון טרור; לגבי תושב חוץ – גם </w:t>
      </w:r>
      <w:r w:rsidRPr="007474B7">
        <w:rPr>
          <w:rFonts w:ascii="David" w:hAnsi="David"/>
          <w:b/>
          <w:bCs/>
          <w:noProof w:val="0"/>
          <w:rtl/>
        </w:rPr>
        <w:lastRenderedPageBreak/>
        <w:t>בירור זיקתו לישראל ואם הוא איש ציבור זר; לגבי מי שהוא בעל עסק – גם סוג עסקיו; תאגיד בנקאי יערוך רישומים של פרטים אלה.</w:t>
      </w:r>
    </w:p>
    <w:p w:rsidR="007474B7" w:rsidRPr="007474B7" w:rsidRDefault="007474B7" w:rsidP="00C82C24">
      <w:pPr>
        <w:shd w:val="clear" w:color="auto" w:fill="FFFFFF"/>
        <w:tabs>
          <w:tab w:val="left" w:pos="1134"/>
          <w:tab w:val="left" w:pos="1417"/>
        </w:tabs>
        <w:spacing w:line="360" w:lineRule="auto"/>
        <w:jc w:val="both"/>
        <w:rPr>
          <w:rFonts w:ascii="David" w:hAnsi="David"/>
          <w:b/>
          <w:bCs/>
          <w:noProof w:val="0"/>
          <w:vanish/>
          <w:color w:val="333333"/>
          <w:rtl/>
        </w:rPr>
      </w:pPr>
      <w:r>
        <w:rPr>
          <w:rFonts w:ascii="David" w:hAnsi="David"/>
          <w:b/>
          <w:bCs/>
          <w:noProof w:val="0"/>
          <w:color w:val="333333"/>
          <w:rtl/>
        </w:rPr>
        <w:tab/>
      </w:r>
      <w:r>
        <w:rPr>
          <w:rFonts w:ascii="David" w:hAnsi="David"/>
          <w:b/>
          <w:bCs/>
          <w:noProof w:val="0"/>
          <w:color w:val="333333"/>
          <w:rtl/>
        </w:rPr>
        <w:tab/>
      </w:r>
    </w:p>
    <w:p w:rsidR="007474B7" w:rsidRDefault="007474B7" w:rsidP="007474B7">
      <w:pPr>
        <w:shd w:val="clear" w:color="auto" w:fill="FFFFFF"/>
        <w:spacing w:line="360" w:lineRule="auto"/>
        <w:ind w:left="2160"/>
        <w:jc w:val="both"/>
        <w:rPr>
          <w:rFonts w:ascii="David" w:hAnsi="David"/>
          <w:b/>
          <w:bCs/>
          <w:noProof w:val="0"/>
          <w:rtl/>
        </w:rPr>
      </w:pPr>
      <w:r w:rsidRPr="007474B7">
        <w:rPr>
          <w:rFonts w:ascii="David" w:hAnsi="David"/>
          <w:b/>
          <w:bCs/>
          <w:noProof w:val="0"/>
          <w:rtl/>
        </w:rPr>
        <w:t>(ב)</w:t>
      </w:r>
      <w:r>
        <w:rPr>
          <w:rFonts w:ascii="David" w:hAnsi="David" w:hint="cs"/>
          <w:b/>
          <w:bCs/>
          <w:noProof w:val="0"/>
          <w:rtl/>
        </w:rPr>
        <w:t xml:space="preserve"> </w:t>
      </w:r>
      <w:r w:rsidRPr="007474B7">
        <w:rPr>
          <w:rFonts w:ascii="David" w:hAnsi="David"/>
          <w:b/>
          <w:bCs/>
          <w:noProof w:val="0"/>
          <w:rtl/>
        </w:rPr>
        <w:t xml:space="preserve">תאגיד בנקאי יקיים בקרה שוטפת בהתייחס להליך של הכרת הלקוח שביצע </w:t>
      </w:r>
    </w:p>
    <w:p w:rsidR="007474B7" w:rsidRPr="007474B7" w:rsidRDefault="007474B7" w:rsidP="007474B7">
      <w:pPr>
        <w:shd w:val="clear" w:color="auto" w:fill="FFFFFF"/>
        <w:spacing w:line="360" w:lineRule="auto"/>
        <w:ind w:left="1701"/>
        <w:jc w:val="both"/>
        <w:rPr>
          <w:rFonts w:ascii="David" w:hAnsi="David"/>
          <w:b/>
          <w:bCs/>
          <w:noProof w:val="0"/>
          <w:rtl/>
        </w:rPr>
      </w:pPr>
      <w:r w:rsidRPr="007474B7">
        <w:rPr>
          <w:rFonts w:ascii="David" w:hAnsi="David"/>
          <w:b/>
          <w:bCs/>
          <w:noProof w:val="0"/>
          <w:rtl/>
        </w:rPr>
        <w:t>עם תחילת ההתקשרות לפי מידת הסיכון של מקבל השירות להלבנת הון ומימון טרור, ויעדכן את רישומיו לפי זה; התעורר ספק ביחס לזהות מקבל השירות או לאמיתות מסמכי הזיהוי שנמסרו לתאגיד הבנקאי, יבצע התאגיד הבנקאי הליך של הכרת הלקוח פעם נוספת.</w:t>
      </w:r>
    </w:p>
    <w:p w:rsidR="007474B7" w:rsidRPr="007474B7" w:rsidRDefault="007474B7" w:rsidP="00FC56DC">
      <w:pPr>
        <w:shd w:val="clear" w:color="auto" w:fill="FFFFFF"/>
        <w:spacing w:line="360" w:lineRule="auto"/>
        <w:ind w:left="1701" w:hanging="284"/>
        <w:jc w:val="both"/>
        <w:rPr>
          <w:rFonts w:ascii="David" w:hAnsi="David"/>
          <w:b/>
          <w:bCs/>
          <w:noProof w:val="0"/>
          <w:color w:val="333333"/>
          <w:rtl/>
        </w:rPr>
      </w:pPr>
      <w:r w:rsidRPr="007474B7">
        <w:rPr>
          <w:rFonts w:ascii="David" w:hAnsi="David"/>
          <w:b/>
          <w:bCs/>
          <w:noProof w:val="0"/>
          <w:rtl/>
        </w:rPr>
        <w:t>(ג)</w:t>
      </w:r>
      <w:r>
        <w:rPr>
          <w:rFonts w:ascii="David" w:hAnsi="David" w:hint="cs"/>
          <w:b/>
          <w:bCs/>
          <w:noProof w:val="0"/>
          <w:color w:val="333333"/>
          <w:rtl/>
        </w:rPr>
        <w:t xml:space="preserve"> </w:t>
      </w:r>
      <w:r w:rsidRPr="007474B7">
        <w:rPr>
          <w:rFonts w:ascii="David" w:hAnsi="David"/>
          <w:b/>
          <w:bCs/>
          <w:noProof w:val="0"/>
          <w:rtl/>
        </w:rPr>
        <w:t xml:space="preserve">בחשבון ממוספר, ינקוט התאגיד הבנקאי פעולות מוגברות להכרת הלקוח; לעניין זה, </w:t>
      </w:r>
      <w:r w:rsidR="00FC56DC">
        <w:rPr>
          <w:rFonts w:ascii="David" w:hAnsi="David" w:hint="cs"/>
          <w:b/>
          <w:bCs/>
          <w:noProof w:val="0"/>
          <w:rtl/>
        </w:rPr>
        <w:t>'</w:t>
      </w:r>
      <w:r w:rsidRPr="007474B7">
        <w:rPr>
          <w:rFonts w:ascii="David" w:hAnsi="David"/>
          <w:b/>
          <w:bCs/>
          <w:noProof w:val="0"/>
          <w:rtl/>
        </w:rPr>
        <w:t>חשבון ממוספר</w:t>
      </w:r>
      <w:r w:rsidR="00FC56DC">
        <w:rPr>
          <w:rFonts w:ascii="David" w:hAnsi="David" w:hint="cs"/>
          <w:b/>
          <w:bCs/>
          <w:noProof w:val="0"/>
          <w:rtl/>
        </w:rPr>
        <w:t>'</w:t>
      </w:r>
      <w:r w:rsidRPr="007474B7">
        <w:rPr>
          <w:rFonts w:ascii="David" w:hAnsi="David"/>
          <w:b/>
          <w:bCs/>
          <w:noProof w:val="0"/>
          <w:rtl/>
        </w:rPr>
        <w:t xml:space="preserve"> – חשבון שזהות בעליו ידועה לתאגיד הבנקאי, ואולם תחת הפרטים המזהים מופיעים מספרים או שמות קוד בחלק מרישומי התאגיד הבנקאי.</w:t>
      </w:r>
    </w:p>
    <w:p w:rsidR="007474B7" w:rsidRPr="007474B7" w:rsidRDefault="007474B7" w:rsidP="00C82C24">
      <w:pPr>
        <w:shd w:val="clear" w:color="auto" w:fill="FFFFFF"/>
        <w:spacing w:line="360" w:lineRule="auto"/>
        <w:ind w:left="1842" w:hanging="402"/>
        <w:jc w:val="both"/>
        <w:rPr>
          <w:rFonts w:ascii="David" w:hAnsi="David"/>
          <w:b/>
          <w:bCs/>
          <w:noProof w:val="0"/>
          <w:rtl/>
        </w:rPr>
      </w:pPr>
      <w:r>
        <w:rPr>
          <w:rFonts w:ascii="David" w:hAnsi="David" w:hint="cs"/>
          <w:b/>
          <w:bCs/>
          <w:noProof w:val="0"/>
          <w:color w:val="333333"/>
          <w:rtl/>
        </w:rPr>
        <w:t>(</w:t>
      </w:r>
      <w:r w:rsidRPr="007474B7">
        <w:rPr>
          <w:rFonts w:ascii="David" w:hAnsi="David"/>
          <w:b/>
          <w:bCs/>
          <w:noProof w:val="0"/>
          <w:rtl/>
        </w:rPr>
        <w:t>ד)</w:t>
      </w:r>
      <w:r>
        <w:rPr>
          <w:rFonts w:ascii="David" w:hAnsi="David" w:hint="cs"/>
          <w:b/>
          <w:bCs/>
          <w:noProof w:val="0"/>
          <w:rtl/>
        </w:rPr>
        <w:t xml:space="preserve"> </w:t>
      </w:r>
      <w:r w:rsidRPr="007474B7">
        <w:rPr>
          <w:rFonts w:ascii="David" w:hAnsi="David"/>
          <w:b/>
          <w:bCs/>
          <w:noProof w:val="0"/>
          <w:rtl/>
        </w:rPr>
        <w:t>ליישום סעיף זה, יפעל התאגיד הבנקאי כאמור בהוראות המפקח על הבנקים לפי סעיף 5(ג1) לפקודת הבנקאות, 1941.</w:t>
      </w:r>
    </w:p>
    <w:p w:rsidR="004E1D08" w:rsidRPr="007474B7" w:rsidRDefault="00ED6453" w:rsidP="007474B7">
      <w:pPr>
        <w:pStyle w:val="ad"/>
        <w:spacing w:line="360" w:lineRule="auto"/>
        <w:jc w:val="both"/>
        <w:rPr>
          <w:rFonts w:ascii="David" w:hAnsi="David"/>
          <w:b/>
          <w:bCs/>
          <w:noProof w:val="0"/>
          <w:rtl/>
        </w:rPr>
      </w:pPr>
      <w:r>
        <w:rPr>
          <w:rFonts w:ascii="David" w:hAnsi="David"/>
          <w:b/>
          <w:bCs/>
          <w:noProof w:val="0"/>
          <w:rtl/>
        </w:rPr>
        <w:tab/>
      </w:r>
      <w:r>
        <w:rPr>
          <w:rFonts w:ascii="David" w:hAnsi="David" w:hint="cs"/>
          <w:b/>
          <w:bCs/>
          <w:noProof w:val="0"/>
          <w:rtl/>
        </w:rPr>
        <w:t>..........</w:t>
      </w:r>
    </w:p>
    <w:p w:rsidR="007474B7" w:rsidRPr="007474B7" w:rsidRDefault="00C82C24" w:rsidP="00ED6453">
      <w:pPr>
        <w:shd w:val="clear" w:color="auto" w:fill="FFFFFF"/>
        <w:spacing w:line="360" w:lineRule="auto"/>
        <w:ind w:left="1440" w:hanging="732"/>
        <w:jc w:val="both"/>
        <w:rPr>
          <w:rFonts w:ascii="David" w:hAnsi="David"/>
          <w:b/>
          <w:bCs/>
          <w:noProof w:val="0"/>
          <w:rtl/>
        </w:rPr>
      </w:pPr>
      <w:r>
        <w:rPr>
          <w:rFonts w:ascii="David" w:hAnsi="David" w:hint="cs"/>
          <w:b/>
          <w:bCs/>
          <w:noProof w:val="0"/>
          <w:rtl/>
        </w:rPr>
        <w:t>4</w:t>
      </w:r>
      <w:r w:rsidRPr="007474B7">
        <w:rPr>
          <w:rFonts w:ascii="David" w:hAnsi="David"/>
          <w:b/>
          <w:bCs/>
          <w:noProof w:val="0"/>
          <w:rtl/>
        </w:rPr>
        <w:t xml:space="preserve"> </w:t>
      </w:r>
      <w:r w:rsidR="007474B7" w:rsidRPr="007474B7">
        <w:rPr>
          <w:rFonts w:ascii="David" w:hAnsi="David"/>
          <w:b/>
          <w:bCs/>
          <w:noProof w:val="0"/>
          <w:rtl/>
        </w:rPr>
        <w:t>(א)</w:t>
      </w:r>
      <w:r w:rsidRPr="007474B7">
        <w:rPr>
          <w:rFonts w:ascii="David" w:hAnsi="David"/>
          <w:b/>
          <w:bCs/>
          <w:noProof w:val="0"/>
          <w:rtl/>
        </w:rPr>
        <w:t xml:space="preserve"> </w:t>
      </w:r>
      <w:r w:rsidR="00ED6453">
        <w:rPr>
          <w:rFonts w:ascii="David" w:hAnsi="David" w:hint="cs"/>
          <w:b/>
          <w:bCs/>
          <w:noProof w:val="0"/>
          <w:rtl/>
        </w:rPr>
        <w:t xml:space="preserve">    </w:t>
      </w:r>
      <w:r w:rsidR="007474B7" w:rsidRPr="007474B7">
        <w:rPr>
          <w:rFonts w:ascii="David" w:hAnsi="David"/>
          <w:b/>
          <w:bCs/>
          <w:noProof w:val="0"/>
          <w:rtl/>
        </w:rPr>
        <w:t>בעת פתיחת חשבון ידרוש התאגיד הבנקאי מהמבקש לפתוח חשבון הצהרה בחתימת מקור אם קיים נהנה בחשבון; הצהיר המבקש לפתוח חשבון כי קיים נהנה בחשבון – תכלול ההצהרה את הפרטים כאמור בסעיף 2(ב) לגבי כל אחד מן הנהנים; נפתח החשבון שלא בידי בעל החשבון, ידרוש התאגיד הבנקאי גם מבעל החשבון הצהרה כאמור טרם ביצוע פעולה בחשבון; ואולם –</w:t>
      </w:r>
    </w:p>
    <w:p w:rsidR="007474B7" w:rsidRPr="007474B7" w:rsidRDefault="007474B7" w:rsidP="00C82C24">
      <w:pPr>
        <w:shd w:val="clear" w:color="auto" w:fill="FFFFFF"/>
        <w:spacing w:line="360" w:lineRule="auto"/>
        <w:ind w:left="1440" w:firstLine="60"/>
        <w:rPr>
          <w:rFonts w:ascii="David" w:hAnsi="David"/>
          <w:b/>
          <w:bCs/>
          <w:noProof w:val="0"/>
          <w:color w:val="333333"/>
          <w:rtl/>
        </w:rPr>
      </w:pPr>
      <w:r w:rsidRPr="007474B7">
        <w:rPr>
          <w:rFonts w:ascii="David" w:hAnsi="David"/>
          <w:b/>
          <w:bCs/>
          <w:noProof w:val="0"/>
          <w:rtl/>
        </w:rPr>
        <w:t>(1)היה הנהנה בלתי ידוע, כאמור בסעיף 2(ב)(1) – יצהיר על כך המבקש לפתוח חשבון;</w:t>
      </w:r>
    </w:p>
    <w:p w:rsidR="007474B7" w:rsidRPr="007474B7" w:rsidRDefault="00C82C24" w:rsidP="00C82C24">
      <w:pPr>
        <w:shd w:val="clear" w:color="auto" w:fill="FFFFFF"/>
        <w:spacing w:line="360" w:lineRule="auto"/>
        <w:ind w:left="1440" w:firstLine="60"/>
        <w:jc w:val="both"/>
        <w:rPr>
          <w:rFonts w:ascii="David" w:hAnsi="David"/>
          <w:b/>
          <w:bCs/>
          <w:noProof w:val="0"/>
          <w:rtl/>
        </w:rPr>
      </w:pPr>
      <w:r>
        <w:rPr>
          <w:rFonts w:ascii="David" w:hAnsi="David" w:hint="cs"/>
          <w:b/>
          <w:bCs/>
          <w:noProof w:val="0"/>
          <w:rtl/>
        </w:rPr>
        <w:t>(2</w:t>
      </w:r>
      <w:r w:rsidR="007474B7" w:rsidRPr="007474B7">
        <w:rPr>
          <w:rFonts w:ascii="David" w:hAnsi="David"/>
          <w:b/>
          <w:bCs/>
          <w:noProof w:val="0"/>
          <w:rtl/>
        </w:rPr>
        <w:t>)</w:t>
      </w:r>
      <w:r>
        <w:rPr>
          <w:rFonts w:ascii="David" w:hAnsi="David" w:hint="cs"/>
          <w:b/>
          <w:bCs/>
          <w:noProof w:val="0"/>
          <w:rtl/>
        </w:rPr>
        <w:t xml:space="preserve"> </w:t>
      </w:r>
      <w:r w:rsidR="007474B7" w:rsidRPr="007474B7">
        <w:rPr>
          <w:rFonts w:ascii="David" w:hAnsi="David"/>
          <w:b/>
          <w:bCs/>
          <w:noProof w:val="0"/>
          <w:rtl/>
        </w:rPr>
        <w:t>התבקש התאגיד הבנקאי לפתוח חשבון כאמור בסעיף 2(ב)(2), ישמור העתק מן האסמכתה לכך.</w:t>
      </w:r>
    </w:p>
    <w:p w:rsidR="007474B7" w:rsidRPr="007474B7" w:rsidRDefault="00C82C24" w:rsidP="00C82C24">
      <w:pPr>
        <w:shd w:val="clear" w:color="auto" w:fill="FFFFFF"/>
        <w:spacing w:line="360" w:lineRule="auto"/>
        <w:ind w:left="1440" w:hanging="720"/>
        <w:jc w:val="both"/>
        <w:rPr>
          <w:rFonts w:ascii="David" w:hAnsi="David"/>
          <w:b/>
          <w:bCs/>
          <w:noProof w:val="0"/>
          <w:rtl/>
        </w:rPr>
      </w:pPr>
      <w:r>
        <w:rPr>
          <w:rFonts w:ascii="David" w:hAnsi="David" w:hint="cs"/>
          <w:b/>
          <w:bCs/>
          <w:noProof w:val="0"/>
          <w:color w:val="333333"/>
          <w:rtl/>
        </w:rPr>
        <w:t>(</w:t>
      </w:r>
      <w:r w:rsidR="007474B7" w:rsidRPr="007474B7">
        <w:rPr>
          <w:rFonts w:ascii="David" w:hAnsi="David"/>
          <w:b/>
          <w:bCs/>
          <w:noProof w:val="0"/>
          <w:rtl/>
        </w:rPr>
        <w:t>ב)</w:t>
      </w:r>
      <w:r>
        <w:rPr>
          <w:rFonts w:ascii="David" w:hAnsi="David" w:hint="cs"/>
          <w:b/>
          <w:bCs/>
          <w:noProof w:val="0"/>
          <w:rtl/>
        </w:rPr>
        <w:t xml:space="preserve"> </w:t>
      </w:r>
      <w:r>
        <w:rPr>
          <w:rFonts w:ascii="David" w:hAnsi="David"/>
          <w:b/>
          <w:bCs/>
          <w:noProof w:val="0"/>
          <w:rtl/>
        </w:rPr>
        <w:tab/>
      </w:r>
      <w:r w:rsidR="007474B7" w:rsidRPr="007474B7">
        <w:rPr>
          <w:rFonts w:ascii="David" w:hAnsi="David"/>
          <w:b/>
          <w:bCs/>
          <w:noProof w:val="0"/>
          <w:rtl/>
        </w:rPr>
        <w:t>בעת פתיחת חשבון בעבור תאגיד, ידרוש התאגיד הבנקאי הצהרה מן התאגיד בחתימת מקור על פרטי הזיהוי כאמור בסעיף 2(ג) לגבי בעל שליטה בתאגיד.</w:t>
      </w:r>
    </w:p>
    <w:p w:rsidR="007474B7" w:rsidRPr="007474B7" w:rsidRDefault="00C82C24" w:rsidP="00C82C24">
      <w:pPr>
        <w:shd w:val="clear" w:color="auto" w:fill="FFFFFF"/>
        <w:spacing w:line="360" w:lineRule="auto"/>
        <w:ind w:left="1440" w:hanging="720"/>
        <w:jc w:val="both"/>
        <w:rPr>
          <w:rFonts w:ascii="David" w:hAnsi="David"/>
          <w:b/>
          <w:bCs/>
          <w:noProof w:val="0"/>
          <w:rtl/>
        </w:rPr>
      </w:pPr>
      <w:r>
        <w:rPr>
          <w:rFonts w:ascii="David" w:hAnsi="David" w:hint="cs"/>
          <w:b/>
          <w:bCs/>
          <w:noProof w:val="0"/>
          <w:color w:val="333333"/>
          <w:rtl/>
        </w:rPr>
        <w:t>(</w:t>
      </w:r>
      <w:r w:rsidR="007474B7" w:rsidRPr="007474B7">
        <w:rPr>
          <w:rFonts w:ascii="David" w:hAnsi="David"/>
          <w:b/>
          <w:bCs/>
          <w:noProof w:val="0"/>
          <w:rtl/>
        </w:rPr>
        <w:t>ב1)</w:t>
      </w:r>
      <w:r>
        <w:rPr>
          <w:rFonts w:ascii="David" w:hAnsi="David"/>
          <w:b/>
          <w:bCs/>
          <w:noProof w:val="0"/>
          <w:rtl/>
        </w:rPr>
        <w:tab/>
      </w:r>
      <w:r w:rsidR="007474B7" w:rsidRPr="007474B7">
        <w:rPr>
          <w:rFonts w:ascii="David" w:hAnsi="David"/>
          <w:b/>
          <w:bCs/>
          <w:noProof w:val="0"/>
          <w:rtl/>
        </w:rPr>
        <w:t>בעת ביצוע פעולה כמפורט בסעיף 8, אם נעשתה שלא באמצעות חשבון כלשהו של בעל חשבון, ידרוש התאגיד הבנקאי ממקבל השירות, הצהרה בחתימת מקור אם הוא פועל בעבור עצמו או בעבור אחר; הצהיר מקבל השירות כי הוא פועל בעבור אחר, תכלול ההצהרה את הפרטים כאמור בסעיף 2(ב) לגבי כל אחד מן הנהנים.</w:t>
      </w:r>
    </w:p>
    <w:p w:rsidR="007474B7" w:rsidRPr="007474B7" w:rsidRDefault="00C82C24" w:rsidP="00C82C24">
      <w:pPr>
        <w:shd w:val="clear" w:color="auto" w:fill="FFFFFF"/>
        <w:spacing w:line="360" w:lineRule="auto"/>
        <w:ind w:left="1440" w:hanging="720"/>
        <w:jc w:val="both"/>
        <w:rPr>
          <w:rFonts w:ascii="David" w:hAnsi="David"/>
          <w:b/>
          <w:bCs/>
          <w:noProof w:val="0"/>
          <w:rtl/>
        </w:rPr>
      </w:pPr>
      <w:r>
        <w:rPr>
          <w:rFonts w:ascii="David" w:hAnsi="David" w:hint="cs"/>
          <w:b/>
          <w:bCs/>
          <w:noProof w:val="0"/>
          <w:color w:val="333333"/>
          <w:rtl/>
        </w:rPr>
        <w:t>(</w:t>
      </w:r>
      <w:r w:rsidR="007474B7" w:rsidRPr="007474B7">
        <w:rPr>
          <w:rFonts w:ascii="David" w:hAnsi="David"/>
          <w:b/>
          <w:bCs/>
          <w:noProof w:val="0"/>
          <w:rtl/>
        </w:rPr>
        <w:t>ג)</w:t>
      </w:r>
      <w:r>
        <w:rPr>
          <w:rFonts w:ascii="David" w:hAnsi="David" w:hint="cs"/>
          <w:b/>
          <w:bCs/>
          <w:noProof w:val="0"/>
          <w:rtl/>
        </w:rPr>
        <w:t xml:space="preserve"> </w:t>
      </w:r>
      <w:r>
        <w:rPr>
          <w:rFonts w:ascii="David" w:hAnsi="David"/>
          <w:b/>
          <w:bCs/>
          <w:noProof w:val="0"/>
          <w:rtl/>
        </w:rPr>
        <w:tab/>
      </w:r>
      <w:r w:rsidR="007474B7" w:rsidRPr="007474B7">
        <w:rPr>
          <w:rFonts w:ascii="David" w:hAnsi="David"/>
          <w:b/>
          <w:bCs/>
          <w:noProof w:val="0"/>
          <w:rtl/>
        </w:rPr>
        <w:t>הצהרות כאמור בסעיפים קטנים (א) עד (ב1) ייעשו לפי הטופס שבתוספת הראשונה או לפי טופס אחר שאישר המפקח על הבנקים לאחר התייעצות עם ראש הרשות המוסמכת.</w:t>
      </w:r>
    </w:p>
    <w:p w:rsidR="007474B7" w:rsidRPr="007474B7" w:rsidRDefault="00C82C24" w:rsidP="00C82C24">
      <w:pPr>
        <w:shd w:val="clear" w:color="auto" w:fill="FFFFFF"/>
        <w:spacing w:line="360" w:lineRule="auto"/>
        <w:rPr>
          <w:rFonts w:ascii="David" w:hAnsi="David"/>
          <w:b/>
          <w:bCs/>
          <w:noProof w:val="0"/>
          <w:vanish/>
          <w:color w:val="333333"/>
          <w:rtl/>
        </w:rPr>
      </w:pPr>
      <w:r>
        <w:rPr>
          <w:rFonts w:ascii="David" w:hAnsi="David"/>
          <w:b/>
          <w:bCs/>
          <w:noProof w:val="0"/>
          <w:color w:val="333333"/>
          <w:rtl/>
        </w:rPr>
        <w:tab/>
      </w:r>
    </w:p>
    <w:p w:rsidR="00C82C24" w:rsidRDefault="007474B7" w:rsidP="00C82C24">
      <w:pPr>
        <w:shd w:val="clear" w:color="auto" w:fill="FFFFFF"/>
        <w:spacing w:line="360" w:lineRule="auto"/>
        <w:ind w:left="1440" w:hanging="720"/>
        <w:jc w:val="both"/>
        <w:rPr>
          <w:rFonts w:ascii="David" w:hAnsi="David"/>
          <w:b/>
          <w:bCs/>
          <w:noProof w:val="0"/>
          <w:rtl/>
        </w:rPr>
      </w:pPr>
      <w:r w:rsidRPr="007474B7">
        <w:rPr>
          <w:rFonts w:ascii="David" w:hAnsi="David"/>
          <w:b/>
          <w:bCs/>
          <w:noProof w:val="0"/>
          <w:rtl/>
        </w:rPr>
        <w:t>(ד)</w:t>
      </w:r>
      <w:r w:rsidR="00C82C24">
        <w:rPr>
          <w:rFonts w:ascii="David" w:hAnsi="David" w:hint="cs"/>
          <w:b/>
          <w:bCs/>
          <w:noProof w:val="0"/>
          <w:rtl/>
        </w:rPr>
        <w:t xml:space="preserve"> </w:t>
      </w:r>
      <w:r w:rsidR="00C82C24">
        <w:rPr>
          <w:rFonts w:ascii="David" w:hAnsi="David"/>
          <w:b/>
          <w:bCs/>
          <w:noProof w:val="0"/>
          <w:rtl/>
        </w:rPr>
        <w:tab/>
      </w:r>
      <w:r w:rsidRPr="007474B7">
        <w:rPr>
          <w:rFonts w:ascii="David" w:hAnsi="David"/>
          <w:b/>
          <w:bCs/>
          <w:noProof w:val="0"/>
          <w:rtl/>
        </w:rPr>
        <w:t>תאגיד בנקאי יבדוק את סבירות ההצהרה, כאמו</w:t>
      </w:r>
      <w:r w:rsidR="00C82C24">
        <w:rPr>
          <w:rFonts w:ascii="David" w:hAnsi="David"/>
          <w:b/>
          <w:bCs/>
          <w:noProof w:val="0"/>
          <w:rtl/>
        </w:rPr>
        <w:t xml:space="preserve">ר בסעיפים קטנים (א) עד (ב1), </w:t>
      </w:r>
    </w:p>
    <w:p w:rsidR="00C82C24" w:rsidRPr="007474B7" w:rsidRDefault="00C82C24" w:rsidP="00C82C24">
      <w:pPr>
        <w:shd w:val="clear" w:color="auto" w:fill="FFFFFF"/>
        <w:spacing w:line="360" w:lineRule="auto"/>
        <w:ind w:left="1440" w:hanging="720"/>
        <w:jc w:val="both"/>
        <w:rPr>
          <w:rFonts w:ascii="David" w:hAnsi="David"/>
          <w:b/>
          <w:bCs/>
          <w:noProof w:val="0"/>
        </w:rPr>
      </w:pPr>
      <w:r>
        <w:rPr>
          <w:rFonts w:ascii="David" w:hAnsi="David"/>
          <w:b/>
          <w:bCs/>
          <w:noProof w:val="0"/>
          <w:rtl/>
        </w:rPr>
        <w:tab/>
        <w:t>על</w:t>
      </w:r>
      <w:r>
        <w:rPr>
          <w:rFonts w:ascii="David" w:hAnsi="David" w:hint="cs"/>
          <w:b/>
          <w:bCs/>
          <w:noProof w:val="0"/>
          <w:rtl/>
        </w:rPr>
        <w:t xml:space="preserve"> </w:t>
      </w:r>
      <w:r w:rsidR="007474B7" w:rsidRPr="007474B7">
        <w:rPr>
          <w:rFonts w:ascii="David" w:hAnsi="David"/>
          <w:b/>
          <w:bCs/>
          <w:noProof w:val="0"/>
          <w:rtl/>
        </w:rPr>
        <w:t>פניה.</w:t>
      </w:r>
    </w:p>
    <w:p w:rsidR="007474B7" w:rsidRPr="007474B7" w:rsidRDefault="00C82C24" w:rsidP="00C82C24">
      <w:pPr>
        <w:shd w:val="clear" w:color="auto" w:fill="FFFFFF"/>
        <w:tabs>
          <w:tab w:val="left" w:pos="1275"/>
        </w:tabs>
        <w:spacing w:line="360" w:lineRule="auto"/>
        <w:ind w:left="1440" w:hanging="720"/>
        <w:jc w:val="both"/>
        <w:rPr>
          <w:rFonts w:ascii="David" w:hAnsi="David"/>
          <w:b/>
          <w:bCs/>
          <w:noProof w:val="0"/>
          <w:rtl/>
        </w:rPr>
      </w:pPr>
      <w:r>
        <w:rPr>
          <w:rFonts w:ascii="David" w:hAnsi="David" w:hint="cs"/>
          <w:b/>
          <w:bCs/>
          <w:noProof w:val="0"/>
          <w:rtl/>
        </w:rPr>
        <w:lastRenderedPageBreak/>
        <w:t>(</w:t>
      </w:r>
      <w:r>
        <w:rPr>
          <w:rFonts w:ascii="David" w:hAnsi="David"/>
          <w:b/>
          <w:bCs/>
          <w:noProof w:val="0"/>
          <w:rtl/>
        </w:rPr>
        <w:t>ה</w:t>
      </w:r>
      <w:r>
        <w:rPr>
          <w:rFonts w:ascii="David" w:hAnsi="David" w:hint="cs"/>
          <w:b/>
          <w:bCs/>
          <w:noProof w:val="0"/>
          <w:rtl/>
        </w:rPr>
        <w:t xml:space="preserve">) </w:t>
      </w:r>
      <w:r>
        <w:rPr>
          <w:rFonts w:ascii="David" w:hAnsi="David"/>
          <w:b/>
          <w:bCs/>
          <w:noProof w:val="0"/>
          <w:rtl/>
        </w:rPr>
        <w:tab/>
      </w:r>
      <w:r>
        <w:rPr>
          <w:rFonts w:ascii="David" w:hAnsi="David" w:hint="cs"/>
          <w:b/>
          <w:bCs/>
          <w:noProof w:val="0"/>
          <w:rtl/>
        </w:rPr>
        <w:t xml:space="preserve">   </w:t>
      </w:r>
      <w:r w:rsidR="007474B7" w:rsidRPr="007474B7">
        <w:rPr>
          <w:rFonts w:ascii="David" w:hAnsi="David"/>
          <w:b/>
          <w:bCs/>
          <w:noProof w:val="0"/>
          <w:rtl/>
        </w:rPr>
        <w:t>תאגיד בנקאי ינקוט אמצעים סבירים, בהתייחס לסיכון הלבנת הון ומימון טרור, לאימות זהותם של הנהנים ובעלי השליטה כאמור בסעיפים קטנים (א) עד (ב1), תוך שימוש במידע רלוונטי או בנתונים שהתקבלו ממקור מהימן המניחים את דעתו; לצורך כך רשאי התאגיד הבנקאי לאמת את פרטי הזיהוי כאמור עם מרשם האוכלוסין ולשם כך הוא רשאי לרשום גם את פרטי הזיהוי שבסעיף 2(א)(3)</w:t>
      </w:r>
      <w:r>
        <w:rPr>
          <w:rFonts w:ascii="David" w:hAnsi="David" w:hint="cs"/>
          <w:b/>
          <w:bCs/>
          <w:noProof w:val="0"/>
          <w:rtl/>
        </w:rPr>
        <w:t>"</w:t>
      </w:r>
      <w:r w:rsidR="007474B7" w:rsidRPr="007474B7">
        <w:rPr>
          <w:rFonts w:ascii="David" w:hAnsi="David"/>
          <w:b/>
          <w:bCs/>
          <w:noProof w:val="0"/>
          <w:rtl/>
        </w:rPr>
        <w:t>.</w:t>
      </w:r>
    </w:p>
    <w:p w:rsidR="007474B7" w:rsidRDefault="007474B7" w:rsidP="00ED6453">
      <w:pPr>
        <w:pStyle w:val="ad"/>
        <w:jc w:val="both"/>
        <w:rPr>
          <w:rFonts w:ascii="Arial" w:hAnsi="Arial"/>
          <w:noProof w:val="0"/>
          <w:rtl/>
        </w:rPr>
      </w:pPr>
    </w:p>
    <w:p w:rsidR="004E1D08" w:rsidRDefault="004E1D08" w:rsidP="004E1D08">
      <w:pPr>
        <w:pStyle w:val="ad"/>
        <w:spacing w:line="360" w:lineRule="auto"/>
        <w:jc w:val="both"/>
        <w:rPr>
          <w:rFonts w:ascii="Arial" w:hAnsi="Arial"/>
          <w:noProof w:val="0"/>
          <w:rtl/>
        </w:rPr>
      </w:pPr>
      <w:r>
        <w:rPr>
          <w:rFonts w:ascii="Arial" w:hAnsi="Arial" w:hint="cs"/>
          <w:noProof w:val="0"/>
          <w:rtl/>
        </w:rPr>
        <w:t>סתם הנתבע ולא פירט הכיצד הוראות הדין לעיל תומכות בטענתו כאילו בהעדר זהות בין הנהנים בעסקאות השונות חובה</w:t>
      </w:r>
      <w:r w:rsidR="00ED6453">
        <w:rPr>
          <w:rFonts w:ascii="Arial" w:hAnsi="Arial" w:hint="cs"/>
          <w:noProof w:val="0"/>
          <w:rtl/>
        </w:rPr>
        <w:t>,</w:t>
      </w:r>
      <w:r>
        <w:rPr>
          <w:rFonts w:ascii="Arial" w:hAnsi="Arial" w:hint="cs"/>
          <w:noProof w:val="0"/>
          <w:rtl/>
        </w:rPr>
        <w:t xml:space="preserve"> לפתוח חשבון נאמנות ייחודי לכל עסקה, שאם לא כן השימוש באותו חשבון להעברת כספים מעסקאות שונות אינו כדין. זאת יודגש, </w:t>
      </w:r>
      <w:r w:rsidR="00454A80">
        <w:rPr>
          <w:rFonts w:ascii="Arial" w:hAnsi="Arial" w:hint="cs"/>
          <w:noProof w:val="0"/>
          <w:rtl/>
        </w:rPr>
        <w:t xml:space="preserve">למעט ציטוט הוראות הדין לעיל, הנתבע לא הפנה לפסיקה כלשהי התומכת בטענתו בנדון. </w:t>
      </w:r>
    </w:p>
    <w:p w:rsidR="00454A80" w:rsidRDefault="00454A80" w:rsidP="00ED6453">
      <w:pPr>
        <w:pStyle w:val="ad"/>
        <w:jc w:val="both"/>
        <w:rPr>
          <w:rFonts w:ascii="Arial" w:hAnsi="Arial"/>
          <w:noProof w:val="0"/>
        </w:rPr>
      </w:pPr>
    </w:p>
    <w:p w:rsidR="004E1D08" w:rsidRDefault="00454A80" w:rsidP="00E64D6A">
      <w:pPr>
        <w:pStyle w:val="ad"/>
        <w:numPr>
          <w:ilvl w:val="0"/>
          <w:numId w:val="1"/>
        </w:numPr>
        <w:spacing w:line="360" w:lineRule="auto"/>
        <w:jc w:val="both"/>
        <w:rPr>
          <w:rFonts w:ascii="Arial" w:hAnsi="Arial"/>
          <w:noProof w:val="0"/>
        </w:rPr>
      </w:pPr>
      <w:r>
        <w:rPr>
          <w:rFonts w:ascii="Arial" w:hAnsi="Arial" w:hint="cs"/>
          <w:noProof w:val="0"/>
          <w:rtl/>
        </w:rPr>
        <w:t>בסעיף 31 לסיכומיו, טען הנתבע באומרו:</w:t>
      </w:r>
    </w:p>
    <w:p w:rsidR="00454A80" w:rsidRDefault="00454A80" w:rsidP="00ED6453">
      <w:pPr>
        <w:pStyle w:val="ad"/>
        <w:jc w:val="both"/>
        <w:rPr>
          <w:rFonts w:ascii="Arial" w:hAnsi="Arial"/>
          <w:noProof w:val="0"/>
          <w:rtl/>
        </w:rPr>
      </w:pPr>
    </w:p>
    <w:p w:rsidR="00454A80" w:rsidRDefault="00454A80" w:rsidP="00ED6453">
      <w:pPr>
        <w:pStyle w:val="ad"/>
        <w:spacing w:line="360" w:lineRule="auto"/>
        <w:ind w:left="1440"/>
        <w:jc w:val="both"/>
        <w:rPr>
          <w:rFonts w:ascii="Arial" w:hAnsi="Arial"/>
          <w:noProof w:val="0"/>
          <w:rtl/>
        </w:rPr>
      </w:pPr>
      <w:r>
        <w:rPr>
          <w:rFonts w:ascii="Arial" w:hAnsi="Arial" w:hint="cs"/>
          <w:b/>
          <w:bCs/>
          <w:noProof w:val="0"/>
          <w:rtl/>
        </w:rPr>
        <w:t xml:space="preserve">"יתרה מזאת יטען הבנק כי מאחר ומדובר בחשבון נאמנות ספציפי וקביעת נהנים </w:t>
      </w:r>
      <w:r w:rsidR="00ED6453">
        <w:rPr>
          <w:rFonts w:ascii="Arial" w:hAnsi="Arial" w:hint="cs"/>
          <w:b/>
          <w:bCs/>
          <w:noProof w:val="0"/>
          <w:rtl/>
        </w:rPr>
        <w:t xml:space="preserve">ספציפיים </w:t>
      </w:r>
      <w:r>
        <w:rPr>
          <w:rFonts w:ascii="Arial" w:hAnsi="Arial" w:hint="cs"/>
          <w:b/>
          <w:bCs/>
          <w:noProof w:val="0"/>
          <w:rtl/>
        </w:rPr>
        <w:t xml:space="preserve">הרי </w:t>
      </w:r>
      <w:r>
        <w:rPr>
          <w:rFonts w:ascii="Arial" w:hAnsi="Arial" w:hint="cs"/>
          <w:b/>
          <w:bCs/>
          <w:noProof w:val="0"/>
          <w:u w:val="single"/>
          <w:rtl/>
        </w:rPr>
        <w:t>בהתאם להוראות בנק ישראל ולניהול בנקאי תקין</w:t>
      </w:r>
      <w:r>
        <w:rPr>
          <w:rFonts w:ascii="Arial" w:hAnsi="Arial" w:hint="cs"/>
          <w:b/>
          <w:bCs/>
          <w:noProof w:val="0"/>
          <w:rtl/>
        </w:rPr>
        <w:t xml:space="preserve"> לאור אי ההתאמה המוחלטת בין זהות הנהנים בחשבון הנאמנות לבין המוכר בעסקת אמנון ותמר </w:t>
      </w:r>
      <w:r w:rsidR="00ED6453">
        <w:rPr>
          <w:rFonts w:ascii="Arial" w:hAnsi="Arial" w:hint="cs"/>
          <w:noProof w:val="0"/>
          <w:rtl/>
        </w:rPr>
        <w:t>(צ"ל</w:t>
      </w:r>
      <w:r>
        <w:rPr>
          <w:rFonts w:ascii="Arial" w:hAnsi="Arial" w:hint="cs"/>
          <w:noProof w:val="0"/>
          <w:rtl/>
        </w:rPr>
        <w:t xml:space="preserve"> עסקת יבנה </w:t>
      </w:r>
      <w:r>
        <w:rPr>
          <w:rFonts w:ascii="Arial" w:hAnsi="Arial"/>
          <w:noProof w:val="0"/>
          <w:rtl/>
        </w:rPr>
        <w:t>–</w:t>
      </w:r>
      <w:r>
        <w:rPr>
          <w:rFonts w:ascii="Arial" w:hAnsi="Arial" w:hint="cs"/>
          <w:noProof w:val="0"/>
          <w:rtl/>
        </w:rPr>
        <w:t>ר.ח.)</w:t>
      </w:r>
      <w:r>
        <w:rPr>
          <w:rFonts w:ascii="Arial" w:hAnsi="Arial" w:hint="cs"/>
          <w:b/>
          <w:bCs/>
          <w:noProof w:val="0"/>
          <w:rtl/>
        </w:rPr>
        <w:t xml:space="preserve">, הרי שביצוע עסקאות נוספות במסגרת חשבון הנאמנות והעברת כספים רק לנהנה אחד מתוך השלושה, נחשבת כ'העברה אסורה' המנוגדת לדין, ומכאן בקשתו של הנאמן להעברת הכספים לתובע בעסקת אמנון ותמר </w:t>
      </w:r>
      <w:r w:rsidR="00ED6453">
        <w:rPr>
          <w:rFonts w:ascii="Arial" w:hAnsi="Arial" w:hint="cs"/>
          <w:noProof w:val="0"/>
          <w:rtl/>
        </w:rPr>
        <w:t>(צ"ל</w:t>
      </w:r>
      <w:r>
        <w:rPr>
          <w:rFonts w:ascii="Arial" w:hAnsi="Arial" w:hint="cs"/>
          <w:noProof w:val="0"/>
          <w:rtl/>
        </w:rPr>
        <w:t xml:space="preserve"> עסקת יבנה </w:t>
      </w:r>
      <w:r>
        <w:rPr>
          <w:rFonts w:ascii="Arial" w:hAnsi="Arial"/>
          <w:noProof w:val="0"/>
          <w:rtl/>
        </w:rPr>
        <w:t>–</w:t>
      </w:r>
      <w:r>
        <w:rPr>
          <w:rFonts w:ascii="Arial" w:hAnsi="Arial" w:hint="cs"/>
          <w:noProof w:val="0"/>
          <w:rtl/>
        </w:rPr>
        <w:t xml:space="preserve"> ר.ח.)</w:t>
      </w:r>
      <w:r w:rsidR="00ED6453">
        <w:rPr>
          <w:rFonts w:ascii="Arial" w:hAnsi="Arial" w:hint="cs"/>
          <w:b/>
          <w:bCs/>
          <w:noProof w:val="0"/>
          <w:rtl/>
        </w:rPr>
        <w:t xml:space="preserve"> הינה פעולה לא תקינה" </w:t>
      </w:r>
      <w:r>
        <w:rPr>
          <w:rFonts w:ascii="Arial" w:hAnsi="Arial" w:hint="cs"/>
          <w:noProof w:val="0"/>
          <w:rtl/>
        </w:rPr>
        <w:t xml:space="preserve">(ההדגשה </w:t>
      </w:r>
      <w:r w:rsidR="00ED6453">
        <w:rPr>
          <w:rFonts w:ascii="Arial" w:hAnsi="Arial" w:hint="cs"/>
          <w:noProof w:val="0"/>
          <w:rtl/>
        </w:rPr>
        <w:t>לא</w:t>
      </w:r>
      <w:r>
        <w:rPr>
          <w:rFonts w:ascii="Arial" w:hAnsi="Arial" w:hint="cs"/>
          <w:noProof w:val="0"/>
          <w:rtl/>
        </w:rPr>
        <w:t xml:space="preserve"> במקור </w:t>
      </w:r>
      <w:r>
        <w:rPr>
          <w:rFonts w:ascii="Arial" w:hAnsi="Arial"/>
          <w:noProof w:val="0"/>
          <w:rtl/>
        </w:rPr>
        <w:t>–</w:t>
      </w:r>
      <w:r>
        <w:rPr>
          <w:rFonts w:ascii="Arial" w:hAnsi="Arial" w:hint="cs"/>
          <w:noProof w:val="0"/>
          <w:rtl/>
        </w:rPr>
        <w:t xml:space="preserve"> ר.ח.). </w:t>
      </w:r>
    </w:p>
    <w:p w:rsidR="00454A80" w:rsidRDefault="00454A80" w:rsidP="00CC25F6">
      <w:pPr>
        <w:pStyle w:val="ad"/>
        <w:jc w:val="both"/>
        <w:rPr>
          <w:rFonts w:ascii="Arial" w:hAnsi="Arial"/>
          <w:b/>
          <w:bCs/>
          <w:noProof w:val="0"/>
          <w:rtl/>
        </w:rPr>
      </w:pPr>
    </w:p>
    <w:p w:rsidR="00454A80" w:rsidRDefault="00454A80" w:rsidP="00CC25F6">
      <w:pPr>
        <w:pStyle w:val="ad"/>
        <w:spacing w:line="360" w:lineRule="auto"/>
        <w:jc w:val="both"/>
        <w:rPr>
          <w:rFonts w:ascii="Arial" w:hAnsi="Arial"/>
          <w:noProof w:val="0"/>
          <w:rtl/>
        </w:rPr>
      </w:pPr>
      <w:r>
        <w:rPr>
          <w:rFonts w:ascii="Arial" w:hAnsi="Arial" w:hint="cs"/>
          <w:noProof w:val="0"/>
          <w:rtl/>
        </w:rPr>
        <w:t>גם בטיעון לעיל סתם הנתבע ולא פירט מהן הוראות בנק ישראל וכללי ניהול בנקאי תקין אליהם הוא מכוון</w:t>
      </w:r>
      <w:r w:rsidR="003A3ABF">
        <w:rPr>
          <w:rFonts w:ascii="Arial" w:hAnsi="Arial" w:hint="cs"/>
          <w:noProof w:val="0"/>
          <w:rtl/>
        </w:rPr>
        <w:t xml:space="preserve"> ו</w:t>
      </w:r>
      <w:r>
        <w:rPr>
          <w:rFonts w:ascii="Arial" w:hAnsi="Arial" w:hint="cs"/>
          <w:noProof w:val="0"/>
          <w:rtl/>
        </w:rPr>
        <w:t xml:space="preserve">הוא לא </w:t>
      </w:r>
      <w:r w:rsidR="00CC25F6">
        <w:rPr>
          <w:rFonts w:ascii="Arial" w:hAnsi="Arial" w:hint="cs"/>
          <w:noProof w:val="0"/>
          <w:rtl/>
        </w:rPr>
        <w:t>טרח ל</w:t>
      </w:r>
      <w:r>
        <w:rPr>
          <w:rFonts w:ascii="Arial" w:hAnsi="Arial" w:hint="cs"/>
          <w:noProof w:val="0"/>
          <w:rtl/>
        </w:rPr>
        <w:t>צרף אותם כחלק מראיותיו בתביע</w:t>
      </w:r>
      <w:r w:rsidR="003A3ABF">
        <w:rPr>
          <w:rFonts w:ascii="Arial" w:hAnsi="Arial" w:hint="cs"/>
          <w:noProof w:val="0"/>
          <w:rtl/>
        </w:rPr>
        <w:t xml:space="preserve">ה. שוב אפוא בפנינו טיעון סתמי וכללי שאין בו לשנות מהתוצאה המתחייבת במשפט. </w:t>
      </w:r>
    </w:p>
    <w:p w:rsidR="003A3ABF" w:rsidRPr="00454A80" w:rsidRDefault="003A3ABF" w:rsidP="00CC25F6">
      <w:pPr>
        <w:pStyle w:val="ad"/>
        <w:jc w:val="both"/>
        <w:rPr>
          <w:rFonts w:ascii="Arial" w:hAnsi="Arial"/>
          <w:noProof w:val="0"/>
        </w:rPr>
      </w:pPr>
    </w:p>
    <w:p w:rsidR="003A3ABF" w:rsidRDefault="003A3ABF" w:rsidP="00CC25F6">
      <w:pPr>
        <w:pStyle w:val="ad"/>
        <w:numPr>
          <w:ilvl w:val="0"/>
          <w:numId w:val="1"/>
        </w:numPr>
        <w:spacing w:line="360" w:lineRule="auto"/>
        <w:jc w:val="both"/>
        <w:rPr>
          <w:rFonts w:ascii="Arial" w:hAnsi="Arial"/>
          <w:noProof w:val="0"/>
        </w:rPr>
      </w:pPr>
      <w:r>
        <w:rPr>
          <w:rFonts w:ascii="Arial" w:hAnsi="Arial" w:hint="cs"/>
          <w:noProof w:val="0"/>
          <w:rtl/>
        </w:rPr>
        <w:t xml:space="preserve">מעבר לעובדה שהנתבע העלה טענות בעלמא ללא פירוט או אסמכתא, הרי אותן טענות אינן מתיישבות עם הראיות שהוגשו במשפט ועם </w:t>
      </w:r>
      <w:r w:rsidR="00CC25F6">
        <w:rPr>
          <w:rFonts w:ascii="Arial" w:hAnsi="Arial" w:hint="cs"/>
          <w:noProof w:val="0"/>
          <w:rtl/>
        </w:rPr>
        <w:t>ה</w:t>
      </w:r>
      <w:r>
        <w:rPr>
          <w:rFonts w:ascii="Arial" w:hAnsi="Arial" w:hint="cs"/>
          <w:noProof w:val="0"/>
          <w:rtl/>
        </w:rPr>
        <w:t xml:space="preserve">התנהלות </w:t>
      </w:r>
      <w:r w:rsidR="00CC25F6">
        <w:rPr>
          <w:rFonts w:ascii="Arial" w:hAnsi="Arial" w:hint="cs"/>
          <w:noProof w:val="0"/>
          <w:rtl/>
        </w:rPr>
        <w:t>שלו</w:t>
      </w:r>
      <w:r>
        <w:rPr>
          <w:rFonts w:ascii="Arial" w:hAnsi="Arial" w:hint="cs"/>
          <w:noProof w:val="0"/>
          <w:rtl/>
        </w:rPr>
        <w:t xml:space="preserve">. אפרט להלן. </w:t>
      </w:r>
    </w:p>
    <w:p w:rsidR="003A3ABF" w:rsidRDefault="003A3ABF" w:rsidP="00CC25F6">
      <w:pPr>
        <w:pStyle w:val="ad"/>
        <w:jc w:val="both"/>
        <w:rPr>
          <w:rFonts w:ascii="Arial" w:hAnsi="Arial"/>
          <w:noProof w:val="0"/>
        </w:rPr>
      </w:pPr>
    </w:p>
    <w:p w:rsidR="00F247BD" w:rsidRPr="00CC25F6" w:rsidRDefault="003A3ABF" w:rsidP="00883C57">
      <w:pPr>
        <w:pStyle w:val="ad"/>
        <w:numPr>
          <w:ilvl w:val="0"/>
          <w:numId w:val="1"/>
        </w:numPr>
        <w:spacing w:line="360" w:lineRule="auto"/>
        <w:jc w:val="both"/>
        <w:rPr>
          <w:rFonts w:ascii="Arial" w:hAnsi="Arial"/>
          <w:noProof w:val="0"/>
          <w:rtl/>
        </w:rPr>
      </w:pPr>
      <w:r w:rsidRPr="00CC25F6">
        <w:rPr>
          <w:rFonts w:ascii="Arial" w:hAnsi="Arial" w:hint="cs"/>
          <w:noProof w:val="0"/>
          <w:rtl/>
        </w:rPr>
        <w:t xml:space="preserve">חשבון הנאמנות נפתח בעקבות מכתב הנאמן לנתבע מיום 02.09.2013, נספח </w:t>
      </w:r>
      <w:r w:rsidR="00F247BD" w:rsidRPr="00CC25F6">
        <w:rPr>
          <w:rFonts w:ascii="Arial" w:hAnsi="Arial" w:hint="cs"/>
          <w:noProof w:val="0"/>
          <w:rtl/>
        </w:rPr>
        <w:t>1</w:t>
      </w:r>
      <w:r w:rsidRPr="00CC25F6">
        <w:rPr>
          <w:rFonts w:ascii="Arial" w:hAnsi="Arial" w:hint="cs"/>
          <w:noProof w:val="0"/>
          <w:rtl/>
        </w:rPr>
        <w:t xml:space="preserve"> לכתב התביעה, </w:t>
      </w:r>
      <w:r w:rsidR="00F247BD" w:rsidRPr="00CC25F6">
        <w:rPr>
          <w:rFonts w:ascii="Arial" w:hAnsi="Arial" w:hint="cs"/>
          <w:noProof w:val="0"/>
          <w:rtl/>
        </w:rPr>
        <w:t>בו נרשם תחת הכותרת "</w:t>
      </w:r>
      <w:r w:rsidR="00CC25F6" w:rsidRPr="00CC25F6">
        <w:rPr>
          <w:rFonts w:ascii="Arial" w:hAnsi="Arial" w:hint="cs"/>
          <w:noProof w:val="0"/>
          <w:rtl/>
        </w:rPr>
        <w:t>ה</w:t>
      </w:r>
      <w:r w:rsidR="00F247BD" w:rsidRPr="00CC25F6">
        <w:rPr>
          <w:rFonts w:ascii="Arial" w:hAnsi="Arial" w:hint="cs"/>
          <w:noProof w:val="0"/>
          <w:rtl/>
        </w:rPr>
        <w:t>נדון</w:t>
      </w:r>
      <w:r w:rsidR="00C924A6" w:rsidRPr="00CC25F6">
        <w:rPr>
          <w:rFonts w:ascii="Arial" w:hAnsi="Arial" w:hint="cs"/>
          <w:noProof w:val="0"/>
          <w:rtl/>
        </w:rPr>
        <w:t>:</w:t>
      </w:r>
      <w:r w:rsidR="00F247BD" w:rsidRPr="00CC25F6">
        <w:rPr>
          <w:rFonts w:ascii="Arial" w:hAnsi="Arial" w:hint="cs"/>
          <w:noProof w:val="0"/>
          <w:rtl/>
        </w:rPr>
        <w:t xml:space="preserve"> חשבון נאמנות </w:t>
      </w:r>
      <w:r w:rsidR="00F247BD" w:rsidRPr="00CC25F6">
        <w:rPr>
          <w:rFonts w:ascii="Arial" w:hAnsi="Arial"/>
          <w:noProof w:val="0"/>
          <w:rtl/>
        </w:rPr>
        <w:t>–</w:t>
      </w:r>
      <w:r w:rsidR="00F247BD" w:rsidRPr="00CC25F6">
        <w:rPr>
          <w:rFonts w:ascii="Arial" w:hAnsi="Arial" w:hint="cs"/>
          <w:noProof w:val="0"/>
          <w:rtl/>
        </w:rPr>
        <w:t xml:space="preserve"> חוה לזר ואח'" ובגוף המכתב התבקש הנתבע לפתוח חשבון נאמנות על שם הנאמן, נרשמו פרטי הנהנים </w:t>
      </w:r>
      <w:r w:rsidR="00CC25F6" w:rsidRPr="00CC25F6">
        <w:rPr>
          <w:rFonts w:ascii="Arial" w:hAnsi="Arial" w:hint="cs"/>
          <w:noProof w:val="0"/>
          <w:rtl/>
        </w:rPr>
        <w:t>ו</w:t>
      </w:r>
      <w:r w:rsidR="00F247BD" w:rsidRPr="00CC25F6">
        <w:rPr>
          <w:rFonts w:ascii="Arial" w:hAnsi="Arial" w:hint="cs"/>
          <w:noProof w:val="0"/>
          <w:rtl/>
        </w:rPr>
        <w:t xml:space="preserve">צורפו צילומי תעודת זהותם. הנה אם כן, אין בפנייה הנ"ל כל התייחסות, ולו ברמז, לעסקת כספרי. יתרה מכך, גם במסמכי פתיחת החשבון עליהם חתם הנאמן, נספחים 2-5 לכתב התביעה, אין כל זכר, ולו ברמז, לעסקת כספרי או לייחוד חשבון הנאמנות לאותה עסקה. </w:t>
      </w:r>
    </w:p>
    <w:p w:rsidR="00F247BD" w:rsidRDefault="00F247BD" w:rsidP="00CC25F6">
      <w:pPr>
        <w:pStyle w:val="ad"/>
        <w:jc w:val="both"/>
        <w:rPr>
          <w:rFonts w:ascii="Arial" w:hAnsi="Arial"/>
          <w:noProof w:val="0"/>
          <w:rtl/>
        </w:rPr>
      </w:pPr>
    </w:p>
    <w:p w:rsidR="00F247BD" w:rsidRDefault="00F247BD" w:rsidP="00AD231E">
      <w:pPr>
        <w:pStyle w:val="ad"/>
        <w:spacing w:line="360" w:lineRule="auto"/>
        <w:jc w:val="both"/>
        <w:rPr>
          <w:rFonts w:ascii="Arial" w:hAnsi="Arial"/>
          <w:noProof w:val="0"/>
          <w:rtl/>
        </w:rPr>
      </w:pPr>
      <w:r>
        <w:rPr>
          <w:rFonts w:ascii="Arial" w:hAnsi="Arial" w:hint="cs"/>
          <w:noProof w:val="0"/>
          <w:rtl/>
        </w:rPr>
        <w:t xml:space="preserve">אמנם נכון, במסמך אשר כותרתו "שיחת הכרות עם הלקוח", נספח 6 לכתב התביעה, נרשם בכתב יד תחת הכותרת "התרשמות ראשונית": "מכירת דירה ברח' כספרי 28 סה"כ 250,000 </w:t>
      </w:r>
      <w:r>
        <w:rPr>
          <w:rFonts w:ascii="Arial" w:hAnsi="Arial" w:hint="cs"/>
          <w:noProof w:val="0"/>
          <w:rtl/>
        </w:rPr>
        <w:lastRenderedPageBreak/>
        <w:t xml:space="preserve">₪". דא עקא, המסמך הנ"ל חתום על ידי נציג הנתבע בלבד ולא על ידי הנאמן ומכל מקום הרישום בכתב יד, כמצוטט לעיל, </w:t>
      </w:r>
      <w:r w:rsidR="00C924A6">
        <w:rPr>
          <w:rFonts w:ascii="Arial" w:hAnsi="Arial" w:hint="cs"/>
          <w:noProof w:val="0"/>
          <w:rtl/>
        </w:rPr>
        <w:t xml:space="preserve">אינו מחייב את המסקנה כאילו חשבון הנאמנות נפתח באופן בלעדי לצורך עסקת כספרי או כי הנאמן מנוע מלהשתמש בו לצורך עסקאות עתידיות. אדרבא ואדרבא, בסעיף 1 למסמך הנ"ל, תחת הכותרת "שאלות מנחות", </w:t>
      </w:r>
      <w:r w:rsidR="00CC25F6">
        <w:rPr>
          <w:rFonts w:ascii="Arial" w:hAnsi="Arial" w:hint="cs"/>
          <w:noProof w:val="0"/>
          <w:rtl/>
        </w:rPr>
        <w:t>מוצג</w:t>
      </w:r>
      <w:r w:rsidR="00C924A6">
        <w:rPr>
          <w:rFonts w:ascii="Arial" w:hAnsi="Arial" w:hint="cs"/>
          <w:noProof w:val="0"/>
          <w:rtl/>
        </w:rPr>
        <w:t xml:space="preserve">ת השאלה מהי מטרת פתיחת חשבון הנאמנות ובסעיף 3 למסמך </w:t>
      </w:r>
      <w:r w:rsidR="00AD231E">
        <w:rPr>
          <w:rFonts w:ascii="Arial" w:hAnsi="Arial" w:hint="cs"/>
          <w:noProof w:val="0"/>
          <w:rtl/>
        </w:rPr>
        <w:t>מוצג</w:t>
      </w:r>
      <w:r w:rsidR="00C924A6">
        <w:rPr>
          <w:rFonts w:ascii="Arial" w:hAnsi="Arial" w:hint="cs"/>
          <w:noProof w:val="0"/>
          <w:rtl/>
        </w:rPr>
        <w:t>ת השאלה מהי הפעילות המתוכננת בחשבון. והנה, נציג הנתבע לא השיב לשאלות הנ"ל</w:t>
      </w:r>
      <w:r w:rsidR="00AD231E">
        <w:rPr>
          <w:rFonts w:ascii="Arial" w:hAnsi="Arial" w:hint="cs"/>
          <w:noProof w:val="0"/>
          <w:rtl/>
        </w:rPr>
        <w:t>, ללמדך כי גם</w:t>
      </w:r>
      <w:r w:rsidR="00C924A6">
        <w:rPr>
          <w:rFonts w:ascii="Arial" w:hAnsi="Arial" w:hint="cs"/>
          <w:noProof w:val="0"/>
          <w:rtl/>
        </w:rPr>
        <w:t xml:space="preserve"> הוא לא סבר בזמן אמת כי חשבון הנאמנות נפתח באופן ייחודי לעסקת כספרי. </w:t>
      </w:r>
    </w:p>
    <w:p w:rsidR="00C924A6" w:rsidRDefault="00C924A6" w:rsidP="00AD231E">
      <w:pPr>
        <w:pStyle w:val="ad"/>
        <w:jc w:val="both"/>
        <w:rPr>
          <w:rFonts w:ascii="Arial" w:hAnsi="Arial"/>
          <w:noProof w:val="0"/>
          <w:rtl/>
        </w:rPr>
      </w:pPr>
    </w:p>
    <w:p w:rsidR="00F247BD" w:rsidRDefault="00C924A6" w:rsidP="00AD231E">
      <w:pPr>
        <w:pStyle w:val="ad"/>
        <w:spacing w:line="360" w:lineRule="auto"/>
        <w:jc w:val="both"/>
        <w:rPr>
          <w:rFonts w:ascii="Arial" w:hAnsi="Arial"/>
          <w:noProof w:val="0"/>
          <w:rtl/>
        </w:rPr>
      </w:pPr>
      <w:r>
        <w:rPr>
          <w:rFonts w:ascii="Arial" w:hAnsi="Arial" w:hint="cs"/>
          <w:noProof w:val="0"/>
          <w:rtl/>
        </w:rPr>
        <w:t xml:space="preserve">זאת יודגש, הנתבע, וטעמיו עמו, לא הציג כל </w:t>
      </w:r>
      <w:r w:rsidR="00AD231E">
        <w:rPr>
          <w:rFonts w:ascii="Arial" w:hAnsi="Arial" w:hint="cs"/>
          <w:noProof w:val="0"/>
          <w:rtl/>
        </w:rPr>
        <w:t xml:space="preserve">ראיה ממועד פתיחת </w:t>
      </w:r>
      <w:r w:rsidR="00B960C7">
        <w:rPr>
          <w:rFonts w:ascii="Arial" w:hAnsi="Arial" w:hint="cs"/>
          <w:noProof w:val="0"/>
          <w:rtl/>
        </w:rPr>
        <w:t xml:space="preserve">חשבון </w:t>
      </w:r>
      <w:r w:rsidR="00AD231E">
        <w:rPr>
          <w:rFonts w:ascii="Arial" w:hAnsi="Arial" w:hint="cs"/>
          <w:noProof w:val="0"/>
          <w:rtl/>
        </w:rPr>
        <w:t xml:space="preserve">הנאמנות </w:t>
      </w:r>
      <w:r>
        <w:rPr>
          <w:rFonts w:ascii="Arial" w:hAnsi="Arial" w:hint="cs"/>
          <w:noProof w:val="0"/>
          <w:rtl/>
        </w:rPr>
        <w:t xml:space="preserve">לתמיכה בטענתו כאילו </w:t>
      </w:r>
      <w:r w:rsidR="00AD231E">
        <w:rPr>
          <w:rFonts w:ascii="Arial" w:hAnsi="Arial" w:hint="cs"/>
          <w:noProof w:val="0"/>
          <w:rtl/>
        </w:rPr>
        <w:t xml:space="preserve">הוא </w:t>
      </w:r>
      <w:r>
        <w:rPr>
          <w:rFonts w:ascii="Arial" w:hAnsi="Arial" w:hint="cs"/>
          <w:noProof w:val="0"/>
          <w:rtl/>
        </w:rPr>
        <w:t xml:space="preserve">נפתח באופן ייחודי לצורך עסקת כספרי או כי בהעדר זהות בין הנהנים באותו </w:t>
      </w:r>
      <w:r w:rsidR="00AD231E">
        <w:rPr>
          <w:rFonts w:ascii="Arial" w:hAnsi="Arial" w:hint="cs"/>
          <w:noProof w:val="0"/>
          <w:rtl/>
        </w:rPr>
        <w:t xml:space="preserve">חשבון </w:t>
      </w:r>
      <w:r w:rsidR="00B960C7">
        <w:rPr>
          <w:rFonts w:ascii="Arial" w:hAnsi="Arial" w:hint="cs"/>
          <w:noProof w:val="0"/>
          <w:rtl/>
        </w:rPr>
        <w:t xml:space="preserve">לבין </w:t>
      </w:r>
      <w:r w:rsidR="00AD231E">
        <w:rPr>
          <w:rFonts w:ascii="Arial" w:hAnsi="Arial" w:hint="cs"/>
          <w:noProof w:val="0"/>
          <w:rtl/>
        </w:rPr>
        <w:t>מבצע העסקה העתידית</w:t>
      </w:r>
      <w:r>
        <w:rPr>
          <w:rFonts w:ascii="Arial" w:hAnsi="Arial" w:hint="cs"/>
          <w:noProof w:val="0"/>
          <w:rtl/>
        </w:rPr>
        <w:t xml:space="preserve">, לא ניתן לעשות בו שימוש </w:t>
      </w:r>
      <w:r w:rsidR="00B960C7">
        <w:rPr>
          <w:rFonts w:ascii="Arial" w:hAnsi="Arial" w:hint="cs"/>
          <w:noProof w:val="0"/>
          <w:rtl/>
        </w:rPr>
        <w:t>אלא לצורך העסקה המקורית אשר בעטי</w:t>
      </w:r>
      <w:r w:rsidR="00AD231E">
        <w:rPr>
          <w:rFonts w:ascii="Arial" w:hAnsi="Arial" w:hint="cs"/>
          <w:noProof w:val="0"/>
          <w:rtl/>
        </w:rPr>
        <w:t>ה</w:t>
      </w:r>
      <w:r w:rsidR="00B960C7">
        <w:rPr>
          <w:rFonts w:ascii="Arial" w:hAnsi="Arial" w:hint="cs"/>
          <w:noProof w:val="0"/>
          <w:rtl/>
        </w:rPr>
        <w:t xml:space="preserve"> הוא נפתח. </w:t>
      </w:r>
    </w:p>
    <w:p w:rsidR="00B960C7" w:rsidRPr="00F247BD" w:rsidRDefault="00B960C7" w:rsidP="00AD231E">
      <w:pPr>
        <w:pStyle w:val="ad"/>
        <w:jc w:val="both"/>
        <w:rPr>
          <w:rFonts w:ascii="Arial" w:hAnsi="Arial"/>
          <w:noProof w:val="0"/>
          <w:rtl/>
        </w:rPr>
      </w:pPr>
    </w:p>
    <w:p w:rsidR="00F247BD" w:rsidRDefault="00B960C7" w:rsidP="00961F34">
      <w:pPr>
        <w:pStyle w:val="ad"/>
        <w:numPr>
          <w:ilvl w:val="0"/>
          <w:numId w:val="1"/>
        </w:numPr>
        <w:spacing w:line="360" w:lineRule="auto"/>
        <w:jc w:val="both"/>
        <w:rPr>
          <w:rFonts w:ascii="Arial" w:hAnsi="Arial"/>
          <w:noProof w:val="0"/>
        </w:rPr>
      </w:pPr>
      <w:r>
        <w:rPr>
          <w:rFonts w:ascii="Arial" w:hAnsi="Arial" w:hint="cs"/>
          <w:noProof w:val="0"/>
          <w:rtl/>
        </w:rPr>
        <w:t xml:space="preserve">אף התנהלות הנתבע לאחר העברת פיקדון כספרי לתובע ואחיותיו מחשבון הנאמנות, אינה עולה בקנה אחד עם הטענה בדבר ייחוד החשבון הנ"ל לאותה עסקה או </w:t>
      </w:r>
      <w:r w:rsidR="00AD231E">
        <w:rPr>
          <w:rFonts w:ascii="Arial" w:hAnsi="Arial" w:hint="cs"/>
          <w:noProof w:val="0"/>
          <w:rtl/>
        </w:rPr>
        <w:t xml:space="preserve">בהתקיים זהות מוחלטת בין </w:t>
      </w:r>
      <w:r>
        <w:rPr>
          <w:rFonts w:ascii="Arial" w:hAnsi="Arial" w:hint="cs"/>
          <w:noProof w:val="0"/>
          <w:rtl/>
        </w:rPr>
        <w:t xml:space="preserve">הנהנים </w:t>
      </w:r>
      <w:r w:rsidR="00AD231E">
        <w:rPr>
          <w:rFonts w:ascii="Arial" w:hAnsi="Arial" w:hint="cs"/>
          <w:noProof w:val="0"/>
          <w:rtl/>
        </w:rPr>
        <w:t xml:space="preserve">שבו לבין מבצע </w:t>
      </w:r>
      <w:r w:rsidR="00961F34">
        <w:rPr>
          <w:rFonts w:ascii="Arial" w:hAnsi="Arial" w:hint="cs"/>
          <w:noProof w:val="0"/>
          <w:rtl/>
        </w:rPr>
        <w:t>העס</w:t>
      </w:r>
      <w:r>
        <w:rPr>
          <w:rFonts w:ascii="Arial" w:hAnsi="Arial" w:hint="cs"/>
          <w:noProof w:val="0"/>
          <w:rtl/>
        </w:rPr>
        <w:t>קאות ה</w:t>
      </w:r>
      <w:r w:rsidR="00961F34">
        <w:rPr>
          <w:rFonts w:ascii="Arial" w:hAnsi="Arial" w:hint="cs"/>
          <w:noProof w:val="0"/>
          <w:rtl/>
        </w:rPr>
        <w:t xml:space="preserve">עתידיות. </w:t>
      </w:r>
    </w:p>
    <w:p w:rsidR="00B960C7" w:rsidRDefault="00B960C7" w:rsidP="00AD231E">
      <w:pPr>
        <w:pStyle w:val="ad"/>
        <w:jc w:val="both"/>
        <w:rPr>
          <w:rFonts w:ascii="Arial" w:hAnsi="Arial"/>
          <w:noProof w:val="0"/>
          <w:rtl/>
        </w:rPr>
      </w:pPr>
    </w:p>
    <w:p w:rsidR="00B960C7" w:rsidRDefault="00B960C7" w:rsidP="0009054A">
      <w:pPr>
        <w:pStyle w:val="ad"/>
        <w:spacing w:line="360" w:lineRule="auto"/>
        <w:jc w:val="both"/>
        <w:rPr>
          <w:rFonts w:ascii="Arial" w:hAnsi="Arial"/>
          <w:noProof w:val="0"/>
          <w:rtl/>
        </w:rPr>
      </w:pPr>
      <w:r>
        <w:rPr>
          <w:rFonts w:ascii="Arial" w:hAnsi="Arial" w:hint="cs"/>
          <w:noProof w:val="0"/>
          <w:rtl/>
        </w:rPr>
        <w:t>כזכור, ביום 04</w:t>
      </w:r>
      <w:r w:rsidR="00D21225">
        <w:rPr>
          <w:rFonts w:ascii="Arial" w:hAnsi="Arial" w:hint="cs"/>
          <w:noProof w:val="0"/>
          <w:rtl/>
        </w:rPr>
        <w:t xml:space="preserve">.08.2014 פנה הנאמן לנתבע במכתב אשר כותרתו "סגירת חשבון 162306" בו הוא ביקש לחלק את פיקדון יבנה בין הנהנים השונים. בס"ק </w:t>
      </w:r>
      <w:r w:rsidR="0009054A">
        <w:rPr>
          <w:rFonts w:ascii="Arial" w:hAnsi="Arial" w:hint="cs"/>
          <w:noProof w:val="0"/>
          <w:rtl/>
        </w:rPr>
        <w:t>(</w:t>
      </w:r>
      <w:r w:rsidR="00D21225">
        <w:rPr>
          <w:rFonts w:ascii="Arial" w:hAnsi="Arial" w:hint="cs"/>
          <w:noProof w:val="0"/>
          <w:rtl/>
        </w:rPr>
        <w:t>4</w:t>
      </w:r>
      <w:r w:rsidR="0009054A">
        <w:rPr>
          <w:rFonts w:ascii="Arial" w:hAnsi="Arial" w:hint="cs"/>
          <w:noProof w:val="0"/>
          <w:rtl/>
        </w:rPr>
        <w:t>)</w:t>
      </w:r>
      <w:r w:rsidR="00D21225">
        <w:rPr>
          <w:rFonts w:ascii="Arial" w:hAnsi="Arial" w:hint="cs"/>
          <w:noProof w:val="0"/>
          <w:rtl/>
        </w:rPr>
        <w:t xml:space="preserve"> לכתב ההגנה ו-1</w:t>
      </w:r>
      <w:r w:rsidR="0009054A">
        <w:rPr>
          <w:rFonts w:ascii="Arial" w:hAnsi="Arial" w:hint="cs"/>
          <w:noProof w:val="0"/>
          <w:rtl/>
        </w:rPr>
        <w:t>(</w:t>
      </w:r>
      <w:r w:rsidR="00D21225">
        <w:rPr>
          <w:rFonts w:ascii="Arial" w:hAnsi="Arial" w:hint="cs"/>
          <w:noProof w:val="0"/>
          <w:rtl/>
        </w:rPr>
        <w:t>ג</w:t>
      </w:r>
      <w:r w:rsidR="0009054A">
        <w:rPr>
          <w:rFonts w:ascii="Arial" w:hAnsi="Arial" w:hint="cs"/>
          <w:noProof w:val="0"/>
          <w:rtl/>
        </w:rPr>
        <w:t>)</w:t>
      </w:r>
      <w:r w:rsidR="00D21225">
        <w:rPr>
          <w:rFonts w:ascii="Arial" w:hAnsi="Arial" w:hint="cs"/>
          <w:noProof w:val="0"/>
          <w:rtl/>
        </w:rPr>
        <w:t xml:space="preserve"> לסיכומיו טען הנתבע כי מכתב זה הוא בבחינת בקשה לסגירת חשבון הנאמנות.</w:t>
      </w:r>
    </w:p>
    <w:p w:rsidR="00D21225" w:rsidRDefault="00D21225" w:rsidP="00AD231E">
      <w:pPr>
        <w:pStyle w:val="ad"/>
        <w:jc w:val="both"/>
        <w:rPr>
          <w:rFonts w:ascii="Arial" w:hAnsi="Arial"/>
          <w:noProof w:val="0"/>
          <w:rtl/>
        </w:rPr>
      </w:pPr>
    </w:p>
    <w:p w:rsidR="006E0D5D" w:rsidRDefault="00D21225" w:rsidP="0009054A">
      <w:pPr>
        <w:pStyle w:val="ad"/>
        <w:spacing w:line="360" w:lineRule="auto"/>
        <w:jc w:val="both"/>
        <w:rPr>
          <w:rFonts w:ascii="Arial" w:hAnsi="Arial"/>
          <w:noProof w:val="0"/>
          <w:rtl/>
        </w:rPr>
      </w:pPr>
      <w:r>
        <w:rPr>
          <w:rFonts w:ascii="Arial" w:hAnsi="Arial" w:hint="cs"/>
          <w:noProof w:val="0"/>
          <w:rtl/>
        </w:rPr>
        <w:t>באם אכן חשבון הנאמנות נפתח באופן ייחודי עבור עסקת כספרי, כטענת הנתבע, ומאחר וממילא הנתבע סבור כי במכתב הנאמן</w:t>
      </w:r>
      <w:r w:rsidR="0009054A" w:rsidRPr="0009054A">
        <w:rPr>
          <w:rFonts w:ascii="Arial" w:hAnsi="Arial" w:hint="cs"/>
          <w:noProof w:val="0"/>
          <w:rtl/>
        </w:rPr>
        <w:t xml:space="preserve"> </w:t>
      </w:r>
      <w:r w:rsidR="0009054A">
        <w:rPr>
          <w:rFonts w:ascii="Arial" w:hAnsi="Arial" w:hint="cs"/>
          <w:noProof w:val="0"/>
          <w:rtl/>
        </w:rPr>
        <w:t>לעיל, הוא התבקש</w:t>
      </w:r>
      <w:r>
        <w:rPr>
          <w:rFonts w:ascii="Arial" w:hAnsi="Arial" w:hint="cs"/>
          <w:noProof w:val="0"/>
          <w:rtl/>
        </w:rPr>
        <w:t xml:space="preserve"> לסגור א</w:t>
      </w:r>
      <w:r w:rsidR="0009054A">
        <w:rPr>
          <w:rFonts w:ascii="Arial" w:hAnsi="Arial" w:hint="cs"/>
          <w:noProof w:val="0"/>
          <w:rtl/>
        </w:rPr>
        <w:t>ו</w:t>
      </w:r>
      <w:r>
        <w:rPr>
          <w:rFonts w:ascii="Arial" w:hAnsi="Arial" w:hint="cs"/>
          <w:noProof w:val="0"/>
          <w:rtl/>
        </w:rPr>
        <w:t>ת</w:t>
      </w:r>
      <w:r w:rsidR="0009054A">
        <w:rPr>
          <w:rFonts w:ascii="Arial" w:hAnsi="Arial" w:hint="cs"/>
          <w:noProof w:val="0"/>
          <w:rtl/>
        </w:rPr>
        <w:t>ו חשבון</w:t>
      </w:r>
      <w:r>
        <w:rPr>
          <w:rFonts w:ascii="Arial" w:hAnsi="Arial" w:hint="cs"/>
          <w:noProof w:val="0"/>
          <w:rtl/>
        </w:rPr>
        <w:t xml:space="preserve"> לאחר חלוקת פיקדון כספרי בין הנהנים השונים, מצופה היה </w:t>
      </w:r>
      <w:r w:rsidR="0009054A">
        <w:rPr>
          <w:rFonts w:ascii="Arial" w:hAnsi="Arial" w:hint="cs"/>
          <w:noProof w:val="0"/>
          <w:rtl/>
        </w:rPr>
        <w:t xml:space="preserve">כי הוא יפעל </w:t>
      </w:r>
      <w:r>
        <w:rPr>
          <w:rFonts w:ascii="Arial" w:hAnsi="Arial" w:hint="cs"/>
          <w:noProof w:val="0"/>
          <w:rtl/>
        </w:rPr>
        <w:t>בהתאם לאותה בקשה ו</w:t>
      </w:r>
      <w:r w:rsidR="0009054A">
        <w:rPr>
          <w:rFonts w:ascii="Arial" w:hAnsi="Arial" w:hint="cs"/>
          <w:noProof w:val="0"/>
          <w:rtl/>
        </w:rPr>
        <w:t>י</w:t>
      </w:r>
      <w:r>
        <w:rPr>
          <w:rFonts w:ascii="Arial" w:hAnsi="Arial" w:hint="cs"/>
          <w:noProof w:val="0"/>
          <w:rtl/>
        </w:rPr>
        <w:t>סגור את חשבון</w:t>
      </w:r>
      <w:r w:rsidR="0009054A">
        <w:rPr>
          <w:rFonts w:ascii="Arial" w:hAnsi="Arial" w:hint="cs"/>
          <w:noProof w:val="0"/>
          <w:rtl/>
        </w:rPr>
        <w:t xml:space="preserve"> הנאמנות</w:t>
      </w:r>
      <w:r>
        <w:rPr>
          <w:rFonts w:ascii="Arial" w:hAnsi="Arial" w:hint="cs"/>
          <w:noProof w:val="0"/>
          <w:rtl/>
        </w:rPr>
        <w:t>. בפועל,</w:t>
      </w:r>
      <w:r w:rsidR="0009054A">
        <w:rPr>
          <w:rFonts w:ascii="Arial" w:hAnsi="Arial" w:hint="cs"/>
          <w:noProof w:val="0"/>
          <w:rtl/>
        </w:rPr>
        <w:t xml:space="preserve"> לא כך פעל הנתבע ובניסיון לתרץ </w:t>
      </w:r>
      <w:r>
        <w:rPr>
          <w:rFonts w:ascii="Arial" w:hAnsi="Arial" w:hint="cs"/>
          <w:noProof w:val="0"/>
          <w:rtl/>
        </w:rPr>
        <w:t>התנהלות</w:t>
      </w:r>
      <w:r w:rsidR="0009054A">
        <w:rPr>
          <w:rFonts w:ascii="Arial" w:hAnsi="Arial" w:hint="cs"/>
          <w:noProof w:val="0"/>
          <w:rtl/>
        </w:rPr>
        <w:t xml:space="preserve"> ז</w:t>
      </w:r>
      <w:r>
        <w:rPr>
          <w:rFonts w:ascii="Arial" w:hAnsi="Arial" w:hint="cs"/>
          <w:noProof w:val="0"/>
          <w:rtl/>
        </w:rPr>
        <w:t xml:space="preserve">ו, הוא העלה בסעיף 4(ד) לכתב ההגנה טענה כללית, סתמית ובלתי משכנעת </w:t>
      </w:r>
      <w:r w:rsidR="00827011">
        <w:rPr>
          <w:rFonts w:ascii="Arial" w:hAnsi="Arial" w:hint="cs"/>
          <w:noProof w:val="0"/>
          <w:rtl/>
        </w:rPr>
        <w:t xml:space="preserve">כאילו </w:t>
      </w:r>
      <w:r w:rsidR="00827011" w:rsidRPr="0009054A">
        <w:rPr>
          <w:rFonts w:ascii="Arial" w:hAnsi="Arial" w:hint="cs"/>
          <w:b/>
          <w:bCs/>
          <w:noProof w:val="0"/>
          <w:rtl/>
        </w:rPr>
        <w:t>"מסיבות שלא ניתן לבררן נכון למועד כתב ההגנה"</w:t>
      </w:r>
      <w:r w:rsidR="00827011">
        <w:rPr>
          <w:rFonts w:ascii="Arial" w:hAnsi="Arial" w:hint="cs"/>
          <w:noProof w:val="0"/>
          <w:rtl/>
        </w:rPr>
        <w:t xml:space="preserve"> חשבון הנאמנות לא נסגר וכי בעקבות שינויים מנהליים שערך הנתבע, אשר כללו סגירת סניף ראשי חיפה בו </w:t>
      </w:r>
      <w:r w:rsidR="0009054A">
        <w:rPr>
          <w:rFonts w:ascii="Arial" w:hAnsi="Arial" w:hint="cs"/>
          <w:noProof w:val="0"/>
          <w:rtl/>
        </w:rPr>
        <w:t>נפתח</w:t>
      </w:r>
      <w:r w:rsidR="00827011">
        <w:rPr>
          <w:rFonts w:ascii="Arial" w:hAnsi="Arial" w:hint="cs"/>
          <w:noProof w:val="0"/>
          <w:rtl/>
        </w:rPr>
        <w:t xml:space="preserve"> חשבון הנאמנות, הוא הועבר לסניף מרכז הכרמל. </w:t>
      </w:r>
    </w:p>
    <w:p w:rsidR="006E0D5D" w:rsidRDefault="006E0D5D" w:rsidP="006E0D5D">
      <w:pPr>
        <w:pStyle w:val="ad"/>
        <w:jc w:val="both"/>
        <w:rPr>
          <w:rFonts w:ascii="Arial" w:hAnsi="Arial"/>
          <w:noProof w:val="0"/>
          <w:rtl/>
        </w:rPr>
      </w:pPr>
    </w:p>
    <w:p w:rsidR="00D21225" w:rsidRDefault="006E0D5D" w:rsidP="006E0D5D">
      <w:pPr>
        <w:pStyle w:val="ad"/>
        <w:spacing w:line="360" w:lineRule="auto"/>
        <w:jc w:val="both"/>
        <w:rPr>
          <w:rFonts w:ascii="Arial" w:hAnsi="Arial"/>
          <w:noProof w:val="0"/>
          <w:rtl/>
        </w:rPr>
      </w:pPr>
      <w:r>
        <w:rPr>
          <w:rFonts w:ascii="Arial" w:hAnsi="Arial" w:hint="cs"/>
          <w:noProof w:val="0"/>
          <w:rtl/>
        </w:rPr>
        <w:t xml:space="preserve">גם טענתו לעיל שיכלל הנתבע </w:t>
      </w:r>
      <w:r w:rsidR="00827011">
        <w:rPr>
          <w:rFonts w:ascii="Arial" w:hAnsi="Arial" w:hint="cs"/>
          <w:noProof w:val="0"/>
          <w:rtl/>
        </w:rPr>
        <w:t>בס"ק 1</w:t>
      </w:r>
      <w:r>
        <w:rPr>
          <w:rFonts w:ascii="Arial" w:hAnsi="Arial" w:hint="cs"/>
          <w:noProof w:val="0"/>
          <w:rtl/>
        </w:rPr>
        <w:t>(</w:t>
      </w:r>
      <w:r w:rsidR="00827011">
        <w:rPr>
          <w:rFonts w:ascii="Arial" w:hAnsi="Arial" w:hint="cs"/>
          <w:noProof w:val="0"/>
          <w:rtl/>
        </w:rPr>
        <w:t>ג</w:t>
      </w:r>
      <w:r>
        <w:rPr>
          <w:rFonts w:ascii="Arial" w:hAnsi="Arial" w:hint="cs"/>
          <w:noProof w:val="0"/>
          <w:rtl/>
        </w:rPr>
        <w:t>)</w:t>
      </w:r>
      <w:r w:rsidR="00827011">
        <w:rPr>
          <w:rFonts w:ascii="Arial" w:hAnsi="Arial" w:hint="cs"/>
          <w:noProof w:val="0"/>
          <w:rtl/>
        </w:rPr>
        <w:t xml:space="preserve"> סיפא לסיכומיו, באומרו: </w:t>
      </w:r>
    </w:p>
    <w:p w:rsidR="00827011" w:rsidRDefault="00827011" w:rsidP="00AD231E">
      <w:pPr>
        <w:pStyle w:val="ad"/>
        <w:jc w:val="both"/>
        <w:rPr>
          <w:rFonts w:ascii="Arial" w:hAnsi="Arial"/>
          <w:noProof w:val="0"/>
          <w:rtl/>
        </w:rPr>
      </w:pPr>
    </w:p>
    <w:p w:rsidR="00827011" w:rsidRDefault="00827011" w:rsidP="00827011">
      <w:pPr>
        <w:pStyle w:val="ad"/>
        <w:spacing w:line="360" w:lineRule="auto"/>
        <w:ind w:left="1440"/>
        <w:jc w:val="both"/>
        <w:rPr>
          <w:rFonts w:ascii="Arial" w:hAnsi="Arial"/>
          <w:b/>
          <w:bCs/>
          <w:noProof w:val="0"/>
          <w:rtl/>
        </w:rPr>
      </w:pPr>
      <w:r>
        <w:rPr>
          <w:rFonts w:ascii="Arial" w:hAnsi="Arial" w:hint="cs"/>
          <w:b/>
          <w:bCs/>
          <w:noProof w:val="0"/>
          <w:rtl/>
        </w:rPr>
        <w:t xml:space="preserve">"לאור ההוראות שניתנו בפקס </w:t>
      </w:r>
      <w:r w:rsidRPr="00827011">
        <w:rPr>
          <w:rFonts w:ascii="Arial" w:hAnsi="Arial" w:hint="cs"/>
          <w:noProof w:val="0"/>
          <w:rtl/>
        </w:rPr>
        <w:t xml:space="preserve">(מכתב הנאמן מיום 04.08.2014 </w:t>
      </w:r>
      <w:r w:rsidRPr="00827011">
        <w:rPr>
          <w:rFonts w:ascii="Arial" w:hAnsi="Arial"/>
          <w:noProof w:val="0"/>
          <w:rtl/>
        </w:rPr>
        <w:t>–</w:t>
      </w:r>
      <w:r w:rsidRPr="00827011">
        <w:rPr>
          <w:rFonts w:ascii="Arial" w:hAnsi="Arial" w:hint="cs"/>
          <w:noProof w:val="0"/>
          <w:rtl/>
        </w:rPr>
        <w:t xml:space="preserve"> ר.ח.)</w:t>
      </w:r>
      <w:r>
        <w:rPr>
          <w:rFonts w:ascii="Arial" w:hAnsi="Arial" w:hint="cs"/>
          <w:b/>
          <w:bCs/>
          <w:noProof w:val="0"/>
          <w:rtl/>
        </w:rPr>
        <w:t xml:space="preserve"> הסכום חולק בין הנהנים, ואולם חרף פניות הסניף לנאמן לסור לסניף לשם חתימה על מסמכי סגירת החשבון, הנאמן לא עשה כן ועל כן חשבון הנאמנות נותר פתוח". </w:t>
      </w:r>
    </w:p>
    <w:p w:rsidR="00827011" w:rsidRDefault="00827011" w:rsidP="00AD231E">
      <w:pPr>
        <w:jc w:val="both"/>
        <w:rPr>
          <w:rFonts w:ascii="Arial" w:hAnsi="Arial"/>
          <w:b/>
          <w:bCs/>
          <w:noProof w:val="0"/>
          <w:rtl/>
        </w:rPr>
      </w:pPr>
    </w:p>
    <w:p w:rsidR="00827011" w:rsidRDefault="00827011" w:rsidP="00827011">
      <w:pPr>
        <w:spacing w:line="360" w:lineRule="auto"/>
        <w:ind w:left="720"/>
        <w:jc w:val="both"/>
        <w:rPr>
          <w:rFonts w:ascii="Arial" w:hAnsi="Arial"/>
          <w:noProof w:val="0"/>
          <w:rtl/>
        </w:rPr>
      </w:pPr>
      <w:r>
        <w:rPr>
          <w:rFonts w:ascii="Arial" w:hAnsi="Arial" w:hint="cs"/>
          <w:noProof w:val="0"/>
          <w:rtl/>
        </w:rPr>
        <w:t>למותר לציין כי משקל טענתו "המשוכללת" של הנתבע</w:t>
      </w:r>
      <w:r w:rsidR="006E0D5D">
        <w:rPr>
          <w:rFonts w:ascii="Arial" w:hAnsi="Arial" w:hint="cs"/>
          <w:noProof w:val="0"/>
          <w:rtl/>
        </w:rPr>
        <w:t xml:space="preserve"> לעיל</w:t>
      </w:r>
      <w:r>
        <w:rPr>
          <w:rFonts w:ascii="Arial" w:hAnsi="Arial" w:hint="cs"/>
          <w:noProof w:val="0"/>
          <w:rtl/>
        </w:rPr>
        <w:t xml:space="preserve"> הינו כמשקל קליפת השום ומוטב היה לולא עלתה הטענה מאשר עלתה. המדובר בטענה כבושה שאינה נתמכת בראיה כלשהי </w:t>
      </w:r>
      <w:r>
        <w:rPr>
          <w:rFonts w:ascii="Arial" w:hAnsi="Arial" w:hint="cs"/>
          <w:noProof w:val="0"/>
          <w:rtl/>
        </w:rPr>
        <w:lastRenderedPageBreak/>
        <w:t xml:space="preserve">או בעדויות שהיו במשפט. אני דוחה אפוא, בשתי ידיים, טענה זו המלמדת על ניסיון עקר של הנתבע להמציא יש מאין טענות הגנה שהקשר בינן לבין האמת הינו מקרי בלבד. </w:t>
      </w:r>
    </w:p>
    <w:p w:rsidR="00827011" w:rsidRDefault="00827011" w:rsidP="006E0D5D">
      <w:pPr>
        <w:ind w:left="720"/>
        <w:jc w:val="both"/>
        <w:rPr>
          <w:rFonts w:ascii="Arial" w:hAnsi="Arial"/>
          <w:noProof w:val="0"/>
          <w:rtl/>
        </w:rPr>
      </w:pPr>
    </w:p>
    <w:p w:rsidR="00827011" w:rsidRDefault="00827011" w:rsidP="006E0D5D">
      <w:pPr>
        <w:spacing w:line="360" w:lineRule="auto"/>
        <w:ind w:left="720"/>
        <w:jc w:val="both"/>
        <w:rPr>
          <w:rFonts w:ascii="Arial" w:hAnsi="Arial"/>
          <w:noProof w:val="0"/>
          <w:rtl/>
        </w:rPr>
      </w:pPr>
      <w:r>
        <w:rPr>
          <w:rFonts w:ascii="Arial" w:hAnsi="Arial" w:hint="cs"/>
          <w:noProof w:val="0"/>
          <w:rtl/>
        </w:rPr>
        <w:t>תאמר אפוא מעתה כי לו אכן אמת בטענת הנתבע כאילו חשבון הנאמנות נפתח באופן ייחודי עבור ע</w:t>
      </w:r>
      <w:r w:rsidR="006E0D5D">
        <w:rPr>
          <w:rFonts w:ascii="Arial" w:hAnsi="Arial" w:hint="cs"/>
          <w:noProof w:val="0"/>
          <w:rtl/>
        </w:rPr>
        <w:t>י</w:t>
      </w:r>
      <w:r>
        <w:rPr>
          <w:rFonts w:ascii="Arial" w:hAnsi="Arial" w:hint="cs"/>
          <w:noProof w:val="0"/>
          <w:rtl/>
        </w:rPr>
        <w:t>סקת כספרי, מצופה היה כי הוא יפעל לס</w:t>
      </w:r>
      <w:r w:rsidR="00722AE9">
        <w:rPr>
          <w:rFonts w:ascii="Arial" w:hAnsi="Arial" w:hint="cs"/>
          <w:noProof w:val="0"/>
          <w:rtl/>
        </w:rPr>
        <w:t>גירתו בעקבות קבלת מכתב הנאמן מיום</w:t>
      </w:r>
      <w:r w:rsidR="006E0D5D">
        <w:rPr>
          <w:rFonts w:ascii="Arial" w:hAnsi="Arial" w:hint="cs"/>
          <w:noProof w:val="0"/>
          <w:rtl/>
        </w:rPr>
        <w:t xml:space="preserve"> 04.08.2014 והעברת פיקדון כספרי ל</w:t>
      </w:r>
      <w:r w:rsidR="00722AE9">
        <w:rPr>
          <w:rFonts w:ascii="Arial" w:hAnsi="Arial" w:hint="cs"/>
          <w:noProof w:val="0"/>
          <w:rtl/>
        </w:rPr>
        <w:t>נהנים השונים. משלא כך פעל הנתבע, שוב מתחייבת המסקנה כי חשבון הנאמנות לא נפתח באופן ייחודי עבור עסקת כספרי.</w:t>
      </w:r>
    </w:p>
    <w:p w:rsidR="00722AE9" w:rsidRPr="00827011" w:rsidRDefault="00722AE9" w:rsidP="006E0D5D">
      <w:pPr>
        <w:ind w:left="720"/>
        <w:jc w:val="both"/>
        <w:rPr>
          <w:rFonts w:ascii="Arial" w:hAnsi="Arial"/>
          <w:noProof w:val="0"/>
          <w:rtl/>
        </w:rPr>
      </w:pPr>
    </w:p>
    <w:p w:rsidR="00B960C7" w:rsidRDefault="00722AE9" w:rsidP="006E0D5D">
      <w:pPr>
        <w:pStyle w:val="ad"/>
        <w:numPr>
          <w:ilvl w:val="0"/>
          <w:numId w:val="1"/>
        </w:numPr>
        <w:spacing w:line="360" w:lineRule="auto"/>
        <w:jc w:val="both"/>
        <w:rPr>
          <w:rFonts w:ascii="Arial" w:hAnsi="Arial"/>
          <w:noProof w:val="0"/>
        </w:rPr>
      </w:pPr>
      <w:r>
        <w:rPr>
          <w:rFonts w:ascii="Arial" w:hAnsi="Arial" w:hint="cs"/>
          <w:noProof w:val="0"/>
          <w:rtl/>
        </w:rPr>
        <w:t>לנתבע היתה הזדמנות נוספת לסגור את חשבון הנאמנות</w:t>
      </w:r>
      <w:r w:rsidR="006E0D5D">
        <w:rPr>
          <w:rFonts w:ascii="Arial" w:hAnsi="Arial" w:hint="cs"/>
          <w:noProof w:val="0"/>
          <w:rtl/>
        </w:rPr>
        <w:t>, וזאת</w:t>
      </w:r>
      <w:r>
        <w:rPr>
          <w:rFonts w:ascii="Arial" w:hAnsi="Arial" w:hint="cs"/>
          <w:noProof w:val="0"/>
          <w:rtl/>
        </w:rPr>
        <w:t xml:space="preserve"> לאחר העברת פיקדון אמנון ותמר אשר הופקד בו לתובע</w:t>
      </w:r>
      <w:r w:rsidR="006E0D5D">
        <w:rPr>
          <w:rFonts w:ascii="Arial" w:hAnsi="Arial" w:hint="cs"/>
          <w:noProof w:val="0"/>
          <w:rtl/>
        </w:rPr>
        <w:t xml:space="preserve">, אולם הוא לא עשה זאת והותיר את החשבון פתוח. בחקירתו הנגדית השיב </w:t>
      </w:r>
      <w:r>
        <w:rPr>
          <w:rFonts w:ascii="Arial" w:hAnsi="Arial" w:hint="cs"/>
          <w:noProof w:val="0"/>
          <w:rtl/>
        </w:rPr>
        <w:t>מנהל הסניף לעניין זה, באומרו:</w:t>
      </w:r>
    </w:p>
    <w:p w:rsidR="00722AE9" w:rsidRPr="006E0D5D" w:rsidRDefault="00722AE9" w:rsidP="006E0D5D">
      <w:pPr>
        <w:pStyle w:val="ad"/>
        <w:jc w:val="both"/>
        <w:rPr>
          <w:rFonts w:ascii="Arial" w:hAnsi="Arial"/>
          <w:noProof w:val="0"/>
          <w:rtl/>
        </w:rPr>
      </w:pPr>
    </w:p>
    <w:p w:rsidR="00722AE9" w:rsidRPr="00722AE9" w:rsidRDefault="00722AE9" w:rsidP="002119BB">
      <w:pPr>
        <w:spacing w:line="360" w:lineRule="auto"/>
        <w:ind w:left="2160" w:hanging="720"/>
        <w:jc w:val="both"/>
        <w:rPr>
          <w:b/>
          <w:bCs/>
          <w:noProof w:val="0"/>
        </w:rPr>
      </w:pPr>
      <w:r>
        <w:rPr>
          <w:rFonts w:hint="cs"/>
          <w:b/>
          <w:bCs/>
          <w:rtl/>
        </w:rPr>
        <w:t>"</w:t>
      </w:r>
      <w:r w:rsidRPr="00722AE9">
        <w:rPr>
          <w:rFonts w:hint="cs"/>
          <w:b/>
          <w:bCs/>
          <w:rtl/>
        </w:rPr>
        <w:t>ש.</w:t>
      </w:r>
      <w:r w:rsidRPr="00722AE9">
        <w:rPr>
          <w:rFonts w:hint="cs"/>
          <w:b/>
          <w:bCs/>
          <w:rtl/>
        </w:rPr>
        <w:tab/>
        <w:t xml:space="preserve">מפנה לעסקת אמנון ותמר, שם היה צריך לשחרר כ-150,000 ₪. למה אחרי שבוצעה הפעולה הזו וכל הכסף נמשך, לא הוריתם לסגור את החשבון? אם באמת אסור לעשות עסקאות נוספות. </w:t>
      </w:r>
    </w:p>
    <w:p w:rsidR="00722AE9" w:rsidRPr="00722AE9" w:rsidRDefault="00722AE9" w:rsidP="002119BB">
      <w:pPr>
        <w:spacing w:line="360" w:lineRule="auto"/>
        <w:ind w:left="2160" w:hanging="615"/>
        <w:jc w:val="both"/>
        <w:rPr>
          <w:b/>
          <w:bCs/>
          <w:rtl/>
        </w:rPr>
      </w:pPr>
      <w:r w:rsidRPr="00722AE9">
        <w:rPr>
          <w:rFonts w:hint="cs"/>
          <w:b/>
          <w:bCs/>
          <w:rtl/>
        </w:rPr>
        <w:t>ת.</w:t>
      </w:r>
      <w:r w:rsidRPr="00722AE9">
        <w:rPr>
          <w:rFonts w:hint="cs"/>
          <w:b/>
          <w:bCs/>
          <w:rtl/>
        </w:rPr>
        <w:tab/>
        <w:t xml:space="preserve">עורך דין הנאמן הוא בעל החשבון והוא צריך לסגור את החשבון אחרי שסיים את העסקה. זו אחריות שלך. </w:t>
      </w:r>
    </w:p>
    <w:p w:rsidR="00722AE9" w:rsidRPr="00722AE9" w:rsidRDefault="00722AE9" w:rsidP="002119BB">
      <w:pPr>
        <w:spacing w:line="360" w:lineRule="auto"/>
        <w:ind w:left="2160" w:hanging="615"/>
        <w:jc w:val="both"/>
        <w:rPr>
          <w:b/>
          <w:bCs/>
          <w:rtl/>
        </w:rPr>
      </w:pPr>
      <w:r w:rsidRPr="00722AE9">
        <w:rPr>
          <w:rFonts w:hint="cs"/>
          <w:b/>
          <w:bCs/>
          <w:rtl/>
        </w:rPr>
        <w:t>ש.</w:t>
      </w:r>
      <w:r w:rsidRPr="00722AE9">
        <w:rPr>
          <w:rFonts w:hint="cs"/>
          <w:b/>
          <w:bCs/>
          <w:rtl/>
        </w:rPr>
        <w:tab/>
        <w:t xml:space="preserve">תראה מכתב של הבנק מאיזושהי תקופה שהוריתם לי בגמר עסקת כספרי או אמנון ותמר או עסקת יבנה לסגור את החשבון. </w:t>
      </w:r>
    </w:p>
    <w:p w:rsidR="00722AE9" w:rsidRDefault="00722AE9" w:rsidP="002119BB">
      <w:pPr>
        <w:spacing w:line="360" w:lineRule="auto"/>
        <w:ind w:left="2160" w:hanging="615"/>
        <w:jc w:val="both"/>
        <w:rPr>
          <w:rtl/>
        </w:rPr>
      </w:pPr>
      <w:r w:rsidRPr="00722AE9">
        <w:rPr>
          <w:rFonts w:hint="cs"/>
          <w:b/>
          <w:bCs/>
          <w:rtl/>
        </w:rPr>
        <w:t>ת.</w:t>
      </w:r>
      <w:r w:rsidRPr="00722AE9">
        <w:rPr>
          <w:rFonts w:hint="cs"/>
          <w:b/>
          <w:bCs/>
          <w:rtl/>
        </w:rPr>
        <w:tab/>
        <w:t>אני לא יכול להורות לך לסגור חשבון"</w:t>
      </w:r>
      <w:r w:rsidR="00772605">
        <w:rPr>
          <w:rFonts w:hint="cs"/>
          <w:b/>
          <w:bCs/>
          <w:rtl/>
        </w:rPr>
        <w:t xml:space="preserve"> </w:t>
      </w:r>
      <w:r>
        <w:rPr>
          <w:rFonts w:hint="cs"/>
          <w:rtl/>
        </w:rPr>
        <w:t xml:space="preserve">(שם, עמ' 17 שורה 1 לפרוטוקול הדיון). </w:t>
      </w:r>
    </w:p>
    <w:p w:rsidR="00722AE9" w:rsidRDefault="00722AE9" w:rsidP="00772605">
      <w:pPr>
        <w:jc w:val="both"/>
        <w:rPr>
          <w:b/>
          <w:bCs/>
          <w:rtl/>
        </w:rPr>
      </w:pPr>
    </w:p>
    <w:p w:rsidR="00722AE9" w:rsidRDefault="00722AE9" w:rsidP="00772605">
      <w:pPr>
        <w:spacing w:line="360" w:lineRule="auto"/>
        <w:ind w:left="720"/>
        <w:jc w:val="both"/>
        <w:rPr>
          <w:rtl/>
        </w:rPr>
      </w:pPr>
      <w:r>
        <w:rPr>
          <w:rFonts w:hint="cs"/>
          <w:rtl/>
        </w:rPr>
        <w:t xml:space="preserve">תירוץ מנהל הסניף, כמצוטט לעיל, כמו גם טענת הנתבע בסיכומיו כאילו בהתאם להלכה הפסוקה לא בנקל בנק יסגור מיוזמתו חשבון המתנהל אצלו, </w:t>
      </w:r>
      <w:r w:rsidR="00772605">
        <w:rPr>
          <w:rFonts w:hint="cs"/>
          <w:rtl/>
        </w:rPr>
        <w:t xml:space="preserve">חפים מכל היגיון </w:t>
      </w:r>
      <w:r>
        <w:rPr>
          <w:rFonts w:hint="cs"/>
          <w:rtl/>
        </w:rPr>
        <w:t xml:space="preserve">הרי לגישת הנתבע עצמו בפניית הנאמן אליו מיום 04.08.2014, </w:t>
      </w:r>
      <w:r w:rsidR="00772605">
        <w:rPr>
          <w:rFonts w:hint="cs"/>
          <w:rtl/>
        </w:rPr>
        <w:t xml:space="preserve">הוא </w:t>
      </w:r>
      <w:r>
        <w:rPr>
          <w:rFonts w:hint="cs"/>
          <w:rtl/>
        </w:rPr>
        <w:t xml:space="preserve">התבקש </w:t>
      </w:r>
      <w:r w:rsidR="00772605">
        <w:rPr>
          <w:rFonts w:hint="cs"/>
          <w:rtl/>
        </w:rPr>
        <w:t>ל</w:t>
      </w:r>
      <w:r>
        <w:rPr>
          <w:rFonts w:hint="cs"/>
          <w:rtl/>
        </w:rPr>
        <w:t>סג</w:t>
      </w:r>
      <w:r w:rsidR="00772605">
        <w:rPr>
          <w:rFonts w:hint="cs"/>
          <w:rtl/>
        </w:rPr>
        <w:t>ו</w:t>
      </w:r>
      <w:r>
        <w:rPr>
          <w:rFonts w:hint="cs"/>
          <w:rtl/>
        </w:rPr>
        <w:t>ר</w:t>
      </w:r>
      <w:r w:rsidR="00772605">
        <w:rPr>
          <w:rFonts w:hint="cs"/>
          <w:rtl/>
        </w:rPr>
        <w:t xml:space="preserve"> א</w:t>
      </w:r>
      <w:r>
        <w:rPr>
          <w:rFonts w:hint="cs"/>
          <w:rtl/>
        </w:rPr>
        <w:t>ת חשבון הנאמנות. בנסיבות העניין, אין מדובר בסגירת חשבון יזומה על ידי הנתבע אלא ב</w:t>
      </w:r>
      <w:r w:rsidR="00772605">
        <w:rPr>
          <w:rFonts w:hint="cs"/>
          <w:rtl/>
        </w:rPr>
        <w:t xml:space="preserve">קיום </w:t>
      </w:r>
      <w:r>
        <w:rPr>
          <w:rFonts w:hint="cs"/>
          <w:rtl/>
        </w:rPr>
        <w:t xml:space="preserve">בקשת הלקוח. </w:t>
      </w:r>
      <w:r w:rsidR="002119BB">
        <w:rPr>
          <w:rFonts w:hint="cs"/>
          <w:rtl/>
        </w:rPr>
        <w:t xml:space="preserve">לפיכך, השיקולים שנקבעו בהלכה הפסוקה לעניין סגירת חשבון באופן יזום על ידי הבנק, אליה הפנה הנתבע בסיכומיו, אינה רלוונטית לענייננו. </w:t>
      </w:r>
    </w:p>
    <w:p w:rsidR="00F90166" w:rsidRPr="00FD4AE2" w:rsidRDefault="00F90166" w:rsidP="00772605">
      <w:pPr>
        <w:jc w:val="both"/>
        <w:rPr>
          <w:rFonts w:ascii="Arial" w:hAnsi="Arial"/>
          <w:noProof w:val="0"/>
        </w:rPr>
      </w:pPr>
    </w:p>
    <w:p w:rsidR="00722AE9" w:rsidRDefault="002119BB" w:rsidP="00B960C7">
      <w:pPr>
        <w:pStyle w:val="ad"/>
        <w:numPr>
          <w:ilvl w:val="0"/>
          <w:numId w:val="1"/>
        </w:numPr>
        <w:spacing w:line="360" w:lineRule="auto"/>
        <w:jc w:val="both"/>
        <w:rPr>
          <w:rFonts w:ascii="Arial" w:hAnsi="Arial"/>
          <w:noProof w:val="0"/>
        </w:rPr>
      </w:pPr>
      <w:r>
        <w:rPr>
          <w:rFonts w:ascii="Arial" w:hAnsi="Arial" w:hint="cs"/>
          <w:noProof w:val="0"/>
          <w:rtl/>
        </w:rPr>
        <w:t xml:space="preserve">על מידת רצינות טענות ההגנה של הנתבע, ניתן ללמוד מעניין אחר. </w:t>
      </w:r>
    </w:p>
    <w:p w:rsidR="002119BB" w:rsidRDefault="002119BB" w:rsidP="00772605">
      <w:pPr>
        <w:pStyle w:val="ad"/>
        <w:jc w:val="both"/>
        <w:rPr>
          <w:rFonts w:ascii="Arial" w:hAnsi="Arial"/>
          <w:noProof w:val="0"/>
          <w:rtl/>
        </w:rPr>
      </w:pPr>
    </w:p>
    <w:p w:rsidR="002119BB" w:rsidRDefault="002119BB" w:rsidP="00772605">
      <w:pPr>
        <w:pStyle w:val="ad"/>
        <w:spacing w:line="360" w:lineRule="auto"/>
        <w:jc w:val="both"/>
        <w:rPr>
          <w:rFonts w:ascii="Arial" w:hAnsi="Arial"/>
          <w:b/>
          <w:bCs/>
          <w:noProof w:val="0"/>
          <w:rtl/>
        </w:rPr>
      </w:pPr>
      <w:r>
        <w:rPr>
          <w:rFonts w:ascii="Arial" w:hAnsi="Arial" w:hint="cs"/>
          <w:noProof w:val="0"/>
          <w:rtl/>
        </w:rPr>
        <w:t>בס"ק 4</w:t>
      </w:r>
      <w:r w:rsidR="00772605">
        <w:rPr>
          <w:rFonts w:ascii="Arial" w:hAnsi="Arial" w:hint="cs"/>
          <w:noProof w:val="0"/>
          <w:rtl/>
        </w:rPr>
        <w:t>(</w:t>
      </w:r>
      <w:r>
        <w:rPr>
          <w:rFonts w:ascii="Arial" w:hAnsi="Arial" w:hint="cs"/>
          <w:noProof w:val="0"/>
          <w:rtl/>
        </w:rPr>
        <w:t>ו</w:t>
      </w:r>
      <w:r w:rsidR="00772605">
        <w:rPr>
          <w:rFonts w:ascii="Arial" w:hAnsi="Arial" w:hint="cs"/>
          <w:noProof w:val="0"/>
          <w:rtl/>
        </w:rPr>
        <w:t>)</w:t>
      </w:r>
      <w:r>
        <w:rPr>
          <w:rFonts w:ascii="Arial" w:hAnsi="Arial" w:hint="cs"/>
          <w:noProof w:val="0"/>
          <w:rtl/>
        </w:rPr>
        <w:t xml:space="preserve"> לכתב ההגנה נימק הנתבע את סירובו להעברת פיקדון יבנה לתובע, אותו ייחס בטעות לעסקת אמנון ותמר, באומרו: </w:t>
      </w:r>
    </w:p>
    <w:p w:rsidR="002119BB" w:rsidRDefault="002119BB" w:rsidP="00772605">
      <w:pPr>
        <w:pStyle w:val="ad"/>
        <w:jc w:val="both"/>
        <w:rPr>
          <w:rFonts w:ascii="Arial" w:hAnsi="Arial"/>
          <w:b/>
          <w:bCs/>
          <w:noProof w:val="0"/>
          <w:rtl/>
        </w:rPr>
      </w:pPr>
      <w:r>
        <w:rPr>
          <w:rFonts w:ascii="Arial" w:hAnsi="Arial"/>
          <w:b/>
          <w:bCs/>
          <w:noProof w:val="0"/>
          <w:rtl/>
        </w:rPr>
        <w:tab/>
      </w:r>
    </w:p>
    <w:p w:rsidR="002119BB" w:rsidRDefault="002119BB" w:rsidP="002119BB">
      <w:pPr>
        <w:pStyle w:val="ad"/>
        <w:spacing w:line="360" w:lineRule="auto"/>
        <w:ind w:left="1440"/>
        <w:jc w:val="both"/>
        <w:rPr>
          <w:rFonts w:ascii="Arial" w:hAnsi="Arial"/>
          <w:noProof w:val="0"/>
          <w:rtl/>
        </w:rPr>
      </w:pPr>
      <w:r>
        <w:rPr>
          <w:rFonts w:ascii="Arial" w:hAnsi="Arial" w:hint="cs"/>
          <w:b/>
          <w:bCs/>
          <w:noProof w:val="0"/>
          <w:rtl/>
        </w:rPr>
        <w:t xml:space="preserve">"בשלב זה סירב הבנק לבקשת עו"ד פלק והתובע להעביר הכספים לתובע בלבד </w:t>
      </w:r>
      <w:r>
        <w:rPr>
          <w:rFonts w:ascii="Arial" w:hAnsi="Arial" w:hint="cs"/>
          <w:b/>
          <w:bCs/>
          <w:noProof w:val="0"/>
          <w:u w:val="single"/>
          <w:rtl/>
        </w:rPr>
        <w:t>על בסיס מסמכים שנערכו שנה קודם לכן לצורך שחרור כספי עסקת יבנה</w:t>
      </w:r>
      <w:r>
        <w:rPr>
          <w:rFonts w:ascii="Arial" w:hAnsi="Arial" w:hint="cs"/>
          <w:noProof w:val="0"/>
          <w:rtl/>
        </w:rPr>
        <w:t xml:space="preserve"> (צ"ל: עסקת אמנון ותמר </w:t>
      </w:r>
      <w:r>
        <w:rPr>
          <w:rFonts w:ascii="Arial" w:hAnsi="Arial"/>
          <w:noProof w:val="0"/>
          <w:rtl/>
        </w:rPr>
        <w:t>–</w:t>
      </w:r>
      <w:r>
        <w:rPr>
          <w:rFonts w:ascii="Arial" w:hAnsi="Arial" w:hint="cs"/>
          <w:noProof w:val="0"/>
          <w:rtl/>
        </w:rPr>
        <w:t xml:space="preserve"> ר.ח.) </w:t>
      </w:r>
      <w:r>
        <w:rPr>
          <w:rFonts w:ascii="Arial" w:hAnsi="Arial" w:hint="cs"/>
          <w:b/>
          <w:bCs/>
          <w:noProof w:val="0"/>
          <w:rtl/>
        </w:rPr>
        <w:t xml:space="preserve">מחשבון הנאמנות לתובע" </w:t>
      </w:r>
      <w:r>
        <w:rPr>
          <w:rFonts w:ascii="Arial" w:hAnsi="Arial" w:hint="cs"/>
          <w:noProof w:val="0"/>
          <w:rtl/>
        </w:rPr>
        <w:t xml:space="preserve">(ההדגשה אינה במקור </w:t>
      </w:r>
      <w:r>
        <w:rPr>
          <w:rFonts w:ascii="Arial" w:hAnsi="Arial"/>
          <w:noProof w:val="0"/>
          <w:rtl/>
        </w:rPr>
        <w:t>–</w:t>
      </w:r>
      <w:r>
        <w:rPr>
          <w:rFonts w:ascii="Arial" w:hAnsi="Arial" w:hint="cs"/>
          <w:noProof w:val="0"/>
          <w:rtl/>
        </w:rPr>
        <w:t xml:space="preserve"> ר.ח.).</w:t>
      </w:r>
    </w:p>
    <w:p w:rsidR="002119BB" w:rsidRDefault="002119BB" w:rsidP="00772605">
      <w:pPr>
        <w:spacing w:line="360" w:lineRule="auto"/>
        <w:ind w:left="720"/>
        <w:jc w:val="both"/>
        <w:rPr>
          <w:rFonts w:ascii="Arial" w:hAnsi="Arial"/>
          <w:noProof w:val="0"/>
          <w:rtl/>
        </w:rPr>
      </w:pPr>
      <w:r>
        <w:rPr>
          <w:rFonts w:ascii="Arial" w:hAnsi="Arial" w:hint="cs"/>
          <w:noProof w:val="0"/>
          <w:rtl/>
        </w:rPr>
        <w:lastRenderedPageBreak/>
        <w:t xml:space="preserve">טיעון הנתבע כאילו הנאמן ביקש להעביר את פיקדון יבנה לתובע על בסיס מסמכים שנערכו בעבר לצורך העברת פיקדון אמנון ותמר, פשוט אינו נכון עובדתית. פניית הנאמן לנתבע להעברת פיקדון יבנה לתובע </w:t>
      </w:r>
      <w:r w:rsidR="00D51F0A">
        <w:rPr>
          <w:rFonts w:ascii="Arial" w:hAnsi="Arial" w:hint="cs"/>
          <w:noProof w:val="0"/>
          <w:rtl/>
        </w:rPr>
        <w:t xml:space="preserve">צורפה כנספח 16 לכתב התביעה ואליה צורפו, בין היתר, אישורים עדכניים בחתימת אחיותיו של התובע ובאישור הנאמן המתייחסים לפיקדון יבנה ולא לפיקדון אמנון ותמר (נספחים 18-19 לכתב התביעה). </w:t>
      </w:r>
    </w:p>
    <w:p w:rsidR="00D51F0A" w:rsidRDefault="00D51F0A" w:rsidP="00772605">
      <w:pPr>
        <w:ind w:left="720"/>
        <w:jc w:val="both"/>
        <w:rPr>
          <w:rFonts w:ascii="Arial" w:hAnsi="Arial"/>
          <w:noProof w:val="0"/>
          <w:rtl/>
        </w:rPr>
      </w:pPr>
    </w:p>
    <w:p w:rsidR="00D51F0A" w:rsidRDefault="00772605" w:rsidP="00600141">
      <w:pPr>
        <w:spacing w:line="360" w:lineRule="auto"/>
        <w:ind w:left="720"/>
        <w:jc w:val="both"/>
        <w:rPr>
          <w:rFonts w:ascii="Arial" w:hAnsi="Arial"/>
          <w:noProof w:val="0"/>
          <w:rtl/>
        </w:rPr>
      </w:pPr>
      <w:r>
        <w:rPr>
          <w:rFonts w:ascii="Arial" w:hAnsi="Arial" w:hint="cs"/>
          <w:noProof w:val="0"/>
          <w:rtl/>
        </w:rPr>
        <w:t>בחק</w:t>
      </w:r>
      <w:r w:rsidR="00D51F0A">
        <w:rPr>
          <w:rFonts w:ascii="Arial" w:hAnsi="Arial" w:hint="cs"/>
          <w:noProof w:val="0"/>
          <w:rtl/>
        </w:rPr>
        <w:t>ירתו הנגדית, נשאל מנהל הסניף לנטען בסעיף 4</w:t>
      </w:r>
      <w:r w:rsidR="00600141">
        <w:rPr>
          <w:rFonts w:ascii="Arial" w:hAnsi="Arial" w:hint="cs"/>
          <w:noProof w:val="0"/>
          <w:rtl/>
        </w:rPr>
        <w:t>(</w:t>
      </w:r>
      <w:r w:rsidR="00D51F0A">
        <w:rPr>
          <w:rFonts w:ascii="Arial" w:hAnsi="Arial" w:hint="cs"/>
          <w:noProof w:val="0"/>
          <w:rtl/>
        </w:rPr>
        <w:t>ו</w:t>
      </w:r>
      <w:r w:rsidR="00600141">
        <w:rPr>
          <w:rFonts w:ascii="Arial" w:hAnsi="Arial" w:hint="cs"/>
          <w:noProof w:val="0"/>
          <w:rtl/>
        </w:rPr>
        <w:t>)</w:t>
      </w:r>
      <w:r w:rsidR="00D51F0A">
        <w:rPr>
          <w:rFonts w:ascii="Arial" w:hAnsi="Arial" w:hint="cs"/>
          <w:noProof w:val="0"/>
          <w:rtl/>
        </w:rPr>
        <w:t xml:space="preserve"> לכתב ההגנה, והוא השיב באומרו:</w:t>
      </w:r>
    </w:p>
    <w:p w:rsidR="00D51F0A" w:rsidRPr="00D51F0A" w:rsidRDefault="00D51F0A" w:rsidP="00772605">
      <w:pPr>
        <w:ind w:left="720"/>
        <w:jc w:val="both"/>
        <w:rPr>
          <w:rFonts w:ascii="Arial" w:hAnsi="Arial"/>
          <w:b/>
          <w:bCs/>
          <w:noProof w:val="0"/>
          <w:rtl/>
        </w:rPr>
      </w:pPr>
    </w:p>
    <w:p w:rsidR="00D51F0A" w:rsidRPr="00D51F0A" w:rsidRDefault="00D51F0A" w:rsidP="00D51F0A">
      <w:pPr>
        <w:spacing w:line="360" w:lineRule="auto"/>
        <w:ind w:left="2160" w:hanging="720"/>
        <w:jc w:val="both"/>
        <w:rPr>
          <w:b/>
          <w:bCs/>
          <w:noProof w:val="0"/>
        </w:rPr>
      </w:pPr>
      <w:r>
        <w:rPr>
          <w:rFonts w:hint="cs"/>
          <w:b/>
          <w:bCs/>
          <w:rtl/>
        </w:rPr>
        <w:t>"</w:t>
      </w:r>
      <w:r w:rsidRPr="00D51F0A">
        <w:rPr>
          <w:rFonts w:hint="cs"/>
          <w:b/>
          <w:bCs/>
          <w:rtl/>
        </w:rPr>
        <w:t>ש.</w:t>
      </w:r>
      <w:r w:rsidRPr="00D51F0A">
        <w:rPr>
          <w:rFonts w:hint="cs"/>
          <w:b/>
          <w:bCs/>
          <w:rtl/>
        </w:rPr>
        <w:tab/>
        <w:t xml:space="preserve">בהמשך הסעיף </w:t>
      </w:r>
      <w:r>
        <w:rPr>
          <w:rFonts w:hint="cs"/>
          <w:b/>
          <w:bCs/>
          <w:rtl/>
        </w:rPr>
        <w:t>'</w:t>
      </w:r>
      <w:r w:rsidRPr="00D51F0A">
        <w:rPr>
          <w:rFonts w:hint="cs"/>
          <w:b/>
          <w:bCs/>
          <w:rtl/>
        </w:rPr>
        <w:t>סירב הבנק לבקשת פאלק להעביר כספים לתובע על בסיס מסמכים שנערכו שנה קודם</w:t>
      </w:r>
      <w:r>
        <w:rPr>
          <w:rFonts w:hint="cs"/>
          <w:b/>
          <w:bCs/>
          <w:rtl/>
        </w:rPr>
        <w:t>'</w:t>
      </w:r>
      <w:r w:rsidRPr="00D51F0A">
        <w:rPr>
          <w:rFonts w:hint="cs"/>
          <w:b/>
          <w:bCs/>
          <w:rtl/>
        </w:rPr>
        <w:t xml:space="preserve">. המצאתי לך אישורים ביום 2.7, נספחים 18-19, אישורים מ-13.6.19. לאיזה אישורים משנה קודם אתה מתכוון? </w:t>
      </w:r>
    </w:p>
    <w:p w:rsidR="00D51F0A" w:rsidRPr="00D51F0A" w:rsidRDefault="00D51F0A" w:rsidP="00D51F0A">
      <w:pPr>
        <w:spacing w:line="360" w:lineRule="auto"/>
        <w:ind w:left="2160" w:hanging="615"/>
        <w:jc w:val="both"/>
        <w:rPr>
          <w:b/>
          <w:bCs/>
          <w:rtl/>
        </w:rPr>
      </w:pPr>
      <w:r w:rsidRPr="00D51F0A">
        <w:rPr>
          <w:rFonts w:hint="cs"/>
          <w:b/>
          <w:bCs/>
          <w:rtl/>
        </w:rPr>
        <w:t>ת.</w:t>
      </w:r>
      <w:r w:rsidRPr="00D51F0A">
        <w:rPr>
          <w:rFonts w:hint="cs"/>
          <w:b/>
          <w:bCs/>
          <w:rtl/>
        </w:rPr>
        <w:tab/>
      </w:r>
      <w:r w:rsidRPr="00600141">
        <w:rPr>
          <w:rFonts w:hint="cs"/>
          <w:b/>
          <w:bCs/>
          <w:u w:val="single"/>
          <w:rtl/>
        </w:rPr>
        <w:t>זו הסיבה העיקרית, כי זו הפרה שניה שאתה מבקש לעשות באותו חשבון. כתבת שאותם מסמכים של אותם העברות ובאותה חתימה על ידך</w:t>
      </w:r>
      <w:r w:rsidRPr="00D51F0A">
        <w:rPr>
          <w:rFonts w:hint="cs"/>
          <w:b/>
          <w:bCs/>
          <w:rtl/>
        </w:rPr>
        <w:t xml:space="preserve">. </w:t>
      </w:r>
    </w:p>
    <w:p w:rsidR="00D51F0A" w:rsidRPr="00D51F0A" w:rsidRDefault="00D51F0A" w:rsidP="00D51F0A">
      <w:pPr>
        <w:spacing w:line="360" w:lineRule="auto"/>
        <w:ind w:left="720" w:firstLine="720"/>
        <w:jc w:val="both"/>
        <w:rPr>
          <w:b/>
          <w:bCs/>
          <w:rtl/>
        </w:rPr>
      </w:pPr>
      <w:r>
        <w:rPr>
          <w:rFonts w:hint="cs"/>
          <w:b/>
          <w:bCs/>
          <w:rtl/>
        </w:rPr>
        <w:t xml:space="preserve">  </w:t>
      </w:r>
      <w:r w:rsidRPr="00D51F0A">
        <w:rPr>
          <w:rFonts w:hint="cs"/>
          <w:b/>
          <w:bCs/>
          <w:rtl/>
        </w:rPr>
        <w:t>ש.</w:t>
      </w:r>
      <w:r w:rsidRPr="00D51F0A">
        <w:rPr>
          <w:rFonts w:hint="cs"/>
          <w:b/>
          <w:bCs/>
          <w:rtl/>
        </w:rPr>
        <w:tab/>
        <w:t xml:space="preserve">כתבת לי שמסמכים שנערכו שנה קודם והבנק דרש מחדש אישור הנהנות. </w:t>
      </w:r>
    </w:p>
    <w:p w:rsidR="00D51F0A" w:rsidRPr="00D51F0A" w:rsidRDefault="00D51F0A" w:rsidP="00D51F0A">
      <w:pPr>
        <w:spacing w:line="360" w:lineRule="auto"/>
        <w:ind w:left="720" w:firstLine="720"/>
        <w:jc w:val="both"/>
        <w:rPr>
          <w:b/>
          <w:bCs/>
          <w:rtl/>
        </w:rPr>
      </w:pPr>
      <w:r>
        <w:rPr>
          <w:rFonts w:hint="cs"/>
          <w:b/>
          <w:bCs/>
          <w:rtl/>
        </w:rPr>
        <w:t xml:space="preserve">  </w:t>
      </w:r>
      <w:r w:rsidRPr="00D51F0A">
        <w:rPr>
          <w:rFonts w:hint="cs"/>
          <w:b/>
          <w:bCs/>
          <w:rtl/>
        </w:rPr>
        <w:t>ת.</w:t>
      </w:r>
      <w:r w:rsidRPr="00D51F0A">
        <w:rPr>
          <w:rFonts w:hint="cs"/>
          <w:b/>
          <w:bCs/>
          <w:rtl/>
        </w:rPr>
        <w:tab/>
      </w:r>
      <w:r w:rsidRPr="00600141">
        <w:rPr>
          <w:rFonts w:hint="cs"/>
          <w:b/>
          <w:bCs/>
          <w:u w:val="single"/>
          <w:rtl/>
        </w:rPr>
        <w:t>נכון.</w:t>
      </w:r>
      <w:r w:rsidRPr="00D51F0A">
        <w:rPr>
          <w:rFonts w:hint="cs"/>
          <w:b/>
          <w:bCs/>
          <w:rtl/>
        </w:rPr>
        <w:t xml:space="preserve"> </w:t>
      </w:r>
    </w:p>
    <w:p w:rsidR="00D51F0A" w:rsidRPr="00D51F0A" w:rsidRDefault="00D51F0A" w:rsidP="00D51F0A">
      <w:pPr>
        <w:spacing w:line="360" w:lineRule="auto"/>
        <w:ind w:left="2160" w:hanging="720"/>
        <w:jc w:val="both"/>
        <w:rPr>
          <w:b/>
          <w:bCs/>
          <w:rtl/>
        </w:rPr>
      </w:pPr>
      <w:r>
        <w:rPr>
          <w:rFonts w:hint="cs"/>
          <w:b/>
          <w:bCs/>
          <w:rtl/>
        </w:rPr>
        <w:t xml:space="preserve">  </w:t>
      </w:r>
      <w:r w:rsidRPr="00D51F0A">
        <w:rPr>
          <w:rFonts w:hint="cs"/>
          <w:b/>
          <w:bCs/>
          <w:rtl/>
        </w:rPr>
        <w:t>ש.</w:t>
      </w:r>
      <w:r w:rsidRPr="00D51F0A">
        <w:rPr>
          <w:rFonts w:hint="cs"/>
          <w:b/>
          <w:bCs/>
          <w:rtl/>
        </w:rPr>
        <w:tab/>
        <w:t xml:space="preserve">אתה דרשת דבר כזה? הרי המצאתי לך אישורים מ-13.6, שבוע קודם. כל המשפט הזה שקר אחד גדול. </w:t>
      </w:r>
    </w:p>
    <w:p w:rsidR="00D51F0A" w:rsidRPr="00D51F0A" w:rsidRDefault="00D51F0A" w:rsidP="00D51F0A">
      <w:pPr>
        <w:spacing w:line="360" w:lineRule="auto"/>
        <w:ind w:left="2160" w:hanging="615"/>
        <w:jc w:val="both"/>
        <w:rPr>
          <w:b/>
          <w:bCs/>
          <w:rtl/>
        </w:rPr>
      </w:pPr>
      <w:r w:rsidRPr="00D51F0A">
        <w:rPr>
          <w:rFonts w:hint="cs"/>
          <w:b/>
          <w:bCs/>
          <w:rtl/>
        </w:rPr>
        <w:t>ת.</w:t>
      </w:r>
      <w:r w:rsidRPr="00D51F0A">
        <w:rPr>
          <w:rFonts w:hint="cs"/>
          <w:b/>
          <w:bCs/>
          <w:rtl/>
        </w:rPr>
        <w:tab/>
        <w:t xml:space="preserve">שוב – כבנק, בגלל חשדות שעלו על התנהלות לא תקינה, לא הסכמנו לקבל.... </w:t>
      </w:r>
    </w:p>
    <w:p w:rsidR="00D51F0A" w:rsidRPr="00D51F0A" w:rsidRDefault="00D51F0A" w:rsidP="00D51F0A">
      <w:pPr>
        <w:spacing w:line="360" w:lineRule="auto"/>
        <w:ind w:left="2160" w:hanging="615"/>
        <w:jc w:val="both"/>
        <w:rPr>
          <w:b/>
          <w:bCs/>
          <w:rtl/>
        </w:rPr>
      </w:pPr>
      <w:r w:rsidRPr="00D51F0A">
        <w:rPr>
          <w:rFonts w:hint="cs"/>
          <w:b/>
          <w:bCs/>
          <w:rtl/>
        </w:rPr>
        <w:t>ש.</w:t>
      </w:r>
      <w:r w:rsidRPr="00D51F0A">
        <w:rPr>
          <w:rFonts w:hint="cs"/>
          <w:b/>
          <w:bCs/>
          <w:rtl/>
        </w:rPr>
        <w:tab/>
        <w:t xml:space="preserve">איפה כתוב פה חשדות? איפה הדרישה של הבנק? איפה אישורים מלפני שנה? </w:t>
      </w:r>
    </w:p>
    <w:p w:rsidR="00D51F0A" w:rsidRDefault="00D51F0A" w:rsidP="00D51F0A">
      <w:pPr>
        <w:spacing w:line="360" w:lineRule="auto"/>
        <w:ind w:left="2160" w:hanging="615"/>
        <w:jc w:val="both"/>
        <w:rPr>
          <w:rtl/>
        </w:rPr>
      </w:pPr>
      <w:r w:rsidRPr="00D51F0A">
        <w:rPr>
          <w:rFonts w:hint="cs"/>
          <w:b/>
          <w:bCs/>
          <w:rtl/>
        </w:rPr>
        <w:t>ת.</w:t>
      </w:r>
      <w:r w:rsidRPr="00D51F0A">
        <w:rPr>
          <w:rFonts w:hint="cs"/>
          <w:b/>
          <w:bCs/>
          <w:rtl/>
        </w:rPr>
        <w:tab/>
        <w:t xml:space="preserve">חשדות שעלו על התנהלותך, הפרה נוספת באותו חשבון שהיה צריך להסגר ולא נסגר. כדי להימנע מטעויות שלא לפגוע בנהנים לא הסכמנו לקבל הצהרות כאלה" </w:t>
      </w:r>
      <w:r>
        <w:rPr>
          <w:rFonts w:hint="cs"/>
          <w:rtl/>
        </w:rPr>
        <w:t>(שם, עמ' 18, שורה 9 לפרוטוקול הדיון)</w:t>
      </w:r>
      <w:r w:rsidR="00600141">
        <w:rPr>
          <w:rFonts w:hint="cs"/>
          <w:rtl/>
        </w:rPr>
        <w:t xml:space="preserve">(ההדגשות אינן במקור </w:t>
      </w:r>
      <w:r w:rsidR="00600141">
        <w:rPr>
          <w:rtl/>
        </w:rPr>
        <w:t>–</w:t>
      </w:r>
      <w:r w:rsidR="00600141">
        <w:rPr>
          <w:rFonts w:hint="cs"/>
          <w:rtl/>
        </w:rPr>
        <w:t xml:space="preserve"> ר.ח.)</w:t>
      </w:r>
      <w:r>
        <w:rPr>
          <w:rFonts w:hint="cs"/>
          <w:rtl/>
        </w:rPr>
        <w:t xml:space="preserve">. </w:t>
      </w:r>
    </w:p>
    <w:p w:rsidR="00D51F0A" w:rsidRDefault="00D51F0A" w:rsidP="00600141">
      <w:pPr>
        <w:ind w:left="720"/>
        <w:jc w:val="both"/>
        <w:rPr>
          <w:rFonts w:ascii="Arial" w:hAnsi="Arial"/>
          <w:noProof w:val="0"/>
          <w:rtl/>
        </w:rPr>
      </w:pPr>
    </w:p>
    <w:p w:rsidR="00D51F0A" w:rsidRDefault="00D51F0A" w:rsidP="00600141">
      <w:pPr>
        <w:spacing w:line="360" w:lineRule="auto"/>
        <w:ind w:left="720"/>
        <w:jc w:val="both"/>
        <w:rPr>
          <w:rFonts w:ascii="Arial" w:hAnsi="Arial"/>
          <w:noProof w:val="0"/>
          <w:rtl/>
        </w:rPr>
      </w:pPr>
      <w:r>
        <w:rPr>
          <w:rFonts w:ascii="Arial" w:hAnsi="Arial" w:hint="cs"/>
          <w:noProof w:val="0"/>
          <w:rtl/>
        </w:rPr>
        <w:t>מהמצוטט לעיל</w:t>
      </w:r>
      <w:r w:rsidR="00600141">
        <w:rPr>
          <w:rFonts w:ascii="Arial" w:hAnsi="Arial" w:hint="cs"/>
          <w:noProof w:val="0"/>
          <w:rtl/>
        </w:rPr>
        <w:t xml:space="preserve"> מתגנב החשד </w:t>
      </w:r>
      <w:r>
        <w:rPr>
          <w:rFonts w:ascii="Arial" w:hAnsi="Arial" w:hint="cs"/>
          <w:noProof w:val="0"/>
          <w:rtl/>
        </w:rPr>
        <w:t>שמא המחלוקת בין הצדדים מקורה</w:t>
      </w:r>
      <w:r w:rsidR="003E304D">
        <w:rPr>
          <w:rFonts w:ascii="Arial" w:hAnsi="Arial" w:hint="cs"/>
          <w:noProof w:val="0"/>
          <w:rtl/>
        </w:rPr>
        <w:t xml:space="preserve"> בטעות הנתבע אשר סבר, ייתכן בהיסח הדעת, כי הנאמן ביקש להעביר את פיקדון יבנה לתובע על סמך האישורים עליהם חתמו אחיותיו לצורך העברת פיקדון אמנון ותמר. </w:t>
      </w:r>
    </w:p>
    <w:p w:rsidR="003E304D" w:rsidRPr="002119BB" w:rsidRDefault="003E304D" w:rsidP="00600141">
      <w:pPr>
        <w:ind w:left="720"/>
        <w:jc w:val="both"/>
        <w:rPr>
          <w:rFonts w:ascii="Arial" w:hAnsi="Arial"/>
          <w:noProof w:val="0"/>
        </w:rPr>
      </w:pPr>
    </w:p>
    <w:p w:rsidR="002119BB" w:rsidRDefault="003E304D" w:rsidP="00600141">
      <w:pPr>
        <w:pStyle w:val="ad"/>
        <w:numPr>
          <w:ilvl w:val="0"/>
          <w:numId w:val="1"/>
        </w:numPr>
        <w:spacing w:line="360" w:lineRule="auto"/>
        <w:jc w:val="both"/>
        <w:rPr>
          <w:rFonts w:ascii="Arial" w:hAnsi="Arial"/>
          <w:noProof w:val="0"/>
        </w:rPr>
      </w:pPr>
      <w:r>
        <w:rPr>
          <w:rFonts w:ascii="Arial" w:hAnsi="Arial" w:hint="cs"/>
          <w:noProof w:val="0"/>
          <w:rtl/>
        </w:rPr>
        <w:t xml:space="preserve">הצעות הנתבע לפתרון המחלוקת שהוא עצמו יצר </w:t>
      </w:r>
      <w:r w:rsidR="00600141">
        <w:rPr>
          <w:rFonts w:ascii="Arial" w:hAnsi="Arial" w:hint="cs"/>
          <w:noProof w:val="0"/>
          <w:rtl/>
        </w:rPr>
        <w:t>ללא כל הצדקה בדין, אין בהן לרפא את הפגם שנפל בהתנהלותו. אנמק להלן.</w:t>
      </w:r>
    </w:p>
    <w:p w:rsidR="003E304D" w:rsidRDefault="003E304D" w:rsidP="00600141">
      <w:pPr>
        <w:pStyle w:val="ad"/>
        <w:jc w:val="both"/>
        <w:rPr>
          <w:rFonts w:ascii="Arial" w:hAnsi="Arial"/>
          <w:noProof w:val="0"/>
          <w:rtl/>
        </w:rPr>
      </w:pPr>
    </w:p>
    <w:p w:rsidR="003E304D" w:rsidRDefault="003E304D" w:rsidP="003E304D">
      <w:pPr>
        <w:pStyle w:val="ad"/>
        <w:spacing w:line="360" w:lineRule="auto"/>
        <w:jc w:val="both"/>
        <w:rPr>
          <w:rFonts w:ascii="Arial" w:hAnsi="Arial"/>
          <w:noProof w:val="0"/>
          <w:rtl/>
        </w:rPr>
      </w:pPr>
      <w:r>
        <w:rPr>
          <w:rFonts w:ascii="Arial" w:hAnsi="Arial" w:hint="cs"/>
          <w:noProof w:val="0"/>
          <w:rtl/>
        </w:rPr>
        <w:t xml:space="preserve">בסעיף 4 למכתב הנתבע לנאמן מיום 10.07.2019, נספח 20 לכתב התביעה, נאמר כדלקמן: </w:t>
      </w:r>
    </w:p>
    <w:p w:rsidR="003E304D" w:rsidRDefault="003E304D" w:rsidP="00600141">
      <w:pPr>
        <w:pStyle w:val="ad"/>
        <w:jc w:val="both"/>
        <w:rPr>
          <w:rFonts w:ascii="Arial" w:hAnsi="Arial"/>
          <w:noProof w:val="0"/>
          <w:rtl/>
        </w:rPr>
      </w:pPr>
    </w:p>
    <w:p w:rsidR="003E304D" w:rsidRDefault="003E304D" w:rsidP="003E304D">
      <w:pPr>
        <w:pStyle w:val="ad"/>
        <w:spacing w:line="360" w:lineRule="auto"/>
        <w:ind w:left="1440"/>
        <w:jc w:val="both"/>
        <w:rPr>
          <w:rFonts w:ascii="Arial" w:hAnsi="Arial"/>
          <w:noProof w:val="0"/>
          <w:rtl/>
        </w:rPr>
      </w:pPr>
      <w:r>
        <w:rPr>
          <w:rFonts w:ascii="Arial" w:hAnsi="Arial" w:hint="cs"/>
          <w:b/>
          <w:bCs/>
          <w:noProof w:val="0"/>
          <w:rtl/>
        </w:rPr>
        <w:t xml:space="preserve">"משמבקש אתה לבצע העברה אסורה בפעם השנייה </w:t>
      </w:r>
      <w:r>
        <w:rPr>
          <w:rFonts w:ascii="Arial" w:hAnsi="Arial" w:hint="cs"/>
          <w:b/>
          <w:bCs/>
          <w:noProof w:val="0"/>
          <w:u w:val="single"/>
          <w:rtl/>
        </w:rPr>
        <w:t xml:space="preserve">ומשום שאין ביכולת הבנק לוודא כי אכן הנהנים הנוספים בחשבון נותנים הסכמתם לביצוע העברה הכספית </w:t>
      </w:r>
      <w:r>
        <w:rPr>
          <w:rFonts w:ascii="Arial" w:hAnsi="Arial" w:hint="cs"/>
          <w:b/>
          <w:bCs/>
          <w:noProof w:val="0"/>
          <w:rtl/>
        </w:rPr>
        <w:lastRenderedPageBreak/>
        <w:t>(מהחשבון שבנדון אל מר בנימין שריג)</w:t>
      </w:r>
      <w:r w:rsidR="00E85393">
        <w:rPr>
          <w:rFonts w:ascii="Arial" w:hAnsi="Arial" w:hint="cs"/>
          <w:b/>
          <w:bCs/>
          <w:noProof w:val="0"/>
          <w:rtl/>
        </w:rPr>
        <w:t>:</w:t>
      </w:r>
      <w:r>
        <w:rPr>
          <w:rFonts w:ascii="Arial" w:hAnsi="Arial" w:hint="cs"/>
          <w:b/>
          <w:bCs/>
          <w:noProof w:val="0"/>
          <w:rtl/>
        </w:rPr>
        <w:t xml:space="preserve"> נדרשים שלושת הנהנים בחשבון הנאמנות, </w:t>
      </w:r>
      <w:r w:rsidR="00E85393">
        <w:rPr>
          <w:rFonts w:ascii="Arial" w:hAnsi="Arial" w:hint="cs"/>
          <w:b/>
          <w:bCs/>
          <w:noProof w:val="0"/>
          <w:rtl/>
        </w:rPr>
        <w:t xml:space="preserve">מר בנימין שריג, הגב' חוה לזר והגב' עדיה גרינשטיין, </w:t>
      </w:r>
      <w:r w:rsidR="00E85393" w:rsidRPr="00E85393">
        <w:rPr>
          <w:rFonts w:ascii="Arial" w:hAnsi="Arial" w:hint="cs"/>
          <w:b/>
          <w:bCs/>
          <w:noProof w:val="0"/>
          <w:u w:val="single"/>
          <w:rtl/>
        </w:rPr>
        <w:t>לסור אל מי מסניפנו יחדוה</w:t>
      </w:r>
      <w:r w:rsidR="00E85393" w:rsidRPr="00E85393">
        <w:rPr>
          <w:rFonts w:ascii="Arial" w:hAnsi="Arial" w:hint="cs"/>
          <w:noProof w:val="0"/>
          <w:rtl/>
        </w:rPr>
        <w:t xml:space="preserve"> </w:t>
      </w:r>
      <w:r w:rsidR="00E85393">
        <w:rPr>
          <w:rFonts w:ascii="Arial" w:hAnsi="Arial" w:hint="cs"/>
          <w:noProof w:val="0"/>
          <w:rtl/>
        </w:rPr>
        <w:t xml:space="preserve">(צ"ל: יחדיו </w:t>
      </w:r>
      <w:r w:rsidR="00E85393">
        <w:rPr>
          <w:rFonts w:ascii="Arial" w:hAnsi="Arial"/>
          <w:noProof w:val="0"/>
          <w:rtl/>
        </w:rPr>
        <w:t>–</w:t>
      </w:r>
      <w:r w:rsidR="00E85393">
        <w:rPr>
          <w:rFonts w:ascii="Arial" w:hAnsi="Arial" w:hint="cs"/>
          <w:noProof w:val="0"/>
          <w:rtl/>
        </w:rPr>
        <w:t xml:space="preserve"> ר.ח.) </w:t>
      </w:r>
      <w:r w:rsidR="00E85393">
        <w:rPr>
          <w:rFonts w:ascii="Arial" w:hAnsi="Arial" w:hint="cs"/>
          <w:b/>
          <w:bCs/>
          <w:noProof w:val="0"/>
          <w:rtl/>
        </w:rPr>
        <w:t xml:space="preserve">כדי לפתוח חשבון משותף לשלושתם לשם יועברו הכספים מחשבון הנאמנות שבנדון ומשם יוכלו להעביר הכספים בהתאם להוראותם" </w:t>
      </w:r>
      <w:r w:rsidR="00E85393">
        <w:rPr>
          <w:rFonts w:ascii="Arial" w:hAnsi="Arial" w:hint="cs"/>
          <w:noProof w:val="0"/>
          <w:rtl/>
        </w:rPr>
        <w:t xml:space="preserve">(ההדגשות אינן במקור </w:t>
      </w:r>
      <w:r w:rsidR="00E85393">
        <w:rPr>
          <w:rFonts w:ascii="Arial" w:hAnsi="Arial"/>
          <w:noProof w:val="0"/>
          <w:rtl/>
        </w:rPr>
        <w:t>–</w:t>
      </w:r>
      <w:r w:rsidR="00E85393">
        <w:rPr>
          <w:rFonts w:ascii="Arial" w:hAnsi="Arial" w:hint="cs"/>
          <w:noProof w:val="0"/>
          <w:rtl/>
        </w:rPr>
        <w:t xml:space="preserve"> ר.ח.). </w:t>
      </w:r>
    </w:p>
    <w:p w:rsidR="00E85393" w:rsidRDefault="00E85393" w:rsidP="007B7D7F">
      <w:pPr>
        <w:jc w:val="both"/>
        <w:rPr>
          <w:rFonts w:ascii="Arial" w:hAnsi="Arial"/>
          <w:noProof w:val="0"/>
          <w:rtl/>
        </w:rPr>
      </w:pPr>
    </w:p>
    <w:p w:rsidR="00694556" w:rsidRDefault="00E85393" w:rsidP="007B7D7F">
      <w:pPr>
        <w:spacing w:line="360" w:lineRule="auto"/>
        <w:ind w:left="720"/>
        <w:jc w:val="both"/>
        <w:rPr>
          <w:rFonts w:ascii="Arial" w:hAnsi="Arial"/>
          <w:noProof w:val="0"/>
          <w:rtl/>
        </w:rPr>
      </w:pPr>
      <w:r>
        <w:rPr>
          <w:rFonts w:ascii="Arial" w:hAnsi="Arial" w:hint="cs"/>
          <w:noProof w:val="0"/>
          <w:rtl/>
        </w:rPr>
        <w:t xml:space="preserve">לא ברור מדוע לגישת הנתבע לא ניתן לוודא כי אחיות התובע נותנות את הסכמתן להעברת פיקדון יבנה במלואו לתובע, מה גם ובפניית הנאמן לנתבע בנדון הוא המציא אישורים </w:t>
      </w:r>
      <w:r w:rsidR="007B7D7F">
        <w:rPr>
          <w:rFonts w:ascii="Arial" w:hAnsi="Arial" w:hint="cs"/>
          <w:noProof w:val="0"/>
          <w:rtl/>
        </w:rPr>
        <w:t xml:space="preserve">בחתימתן </w:t>
      </w:r>
      <w:r>
        <w:rPr>
          <w:rFonts w:ascii="Arial" w:hAnsi="Arial" w:hint="cs"/>
          <w:noProof w:val="0"/>
          <w:rtl/>
        </w:rPr>
        <w:t xml:space="preserve">המאומתים </w:t>
      </w:r>
      <w:r w:rsidR="007B7D7F">
        <w:rPr>
          <w:rFonts w:ascii="Arial" w:hAnsi="Arial" w:hint="cs"/>
          <w:noProof w:val="0"/>
          <w:rtl/>
        </w:rPr>
        <w:t>על ידי</w:t>
      </w:r>
      <w:r>
        <w:rPr>
          <w:rFonts w:ascii="Arial" w:hAnsi="Arial" w:hint="cs"/>
          <w:noProof w:val="0"/>
          <w:rtl/>
        </w:rPr>
        <w:t xml:space="preserve"> הנאמן (או שמא תאמר כי הנתבע סבר בטעות כי </w:t>
      </w:r>
      <w:r w:rsidR="007B7D7F">
        <w:rPr>
          <w:rFonts w:ascii="Arial" w:hAnsi="Arial" w:hint="cs"/>
          <w:noProof w:val="0"/>
          <w:rtl/>
        </w:rPr>
        <w:t>ה</w:t>
      </w:r>
      <w:r>
        <w:rPr>
          <w:rFonts w:ascii="Arial" w:hAnsi="Arial" w:hint="cs"/>
          <w:noProof w:val="0"/>
          <w:rtl/>
        </w:rPr>
        <w:t xml:space="preserve">אישורים </w:t>
      </w:r>
      <w:r w:rsidR="007B7D7F">
        <w:rPr>
          <w:rFonts w:ascii="Arial" w:hAnsi="Arial" w:hint="cs"/>
          <w:noProof w:val="0"/>
          <w:rtl/>
        </w:rPr>
        <w:t>מתייחסים</w:t>
      </w:r>
      <w:r>
        <w:rPr>
          <w:rFonts w:ascii="Arial" w:hAnsi="Arial" w:hint="cs"/>
          <w:noProof w:val="0"/>
          <w:rtl/>
        </w:rPr>
        <w:t xml:space="preserve"> לפיקדון אמנון ותמר, </w:t>
      </w:r>
      <w:r w:rsidR="007B7D7F">
        <w:rPr>
          <w:rFonts w:ascii="Arial" w:hAnsi="Arial" w:hint="cs"/>
          <w:noProof w:val="0"/>
          <w:rtl/>
        </w:rPr>
        <w:t>כאמור לעיל</w:t>
      </w:r>
      <w:r>
        <w:rPr>
          <w:rFonts w:ascii="Arial" w:hAnsi="Arial" w:hint="cs"/>
          <w:noProof w:val="0"/>
          <w:rtl/>
        </w:rPr>
        <w:t>). וגם זאת, הנתבע לא חלק על טענת התובע כי אחיותיו הינן נשים מבוגרות</w:t>
      </w:r>
      <w:r w:rsidR="006C3E21">
        <w:rPr>
          <w:rFonts w:ascii="Arial" w:hAnsi="Arial" w:hint="cs"/>
          <w:noProof w:val="0"/>
          <w:rtl/>
        </w:rPr>
        <w:t xml:space="preserve"> שאינן בקו הבריאות, במיוחד המנוחה עדיה ז"ל אשר חלתה במחלה קשה ונפטרה בחלוף מספר חודשים. כן לא חלק הנתבע על טענת התובע כי הוא ואחיותיו כל אחד מהם מתגורר במקום אחר ברחבי הארץ</w:t>
      </w:r>
      <w:r w:rsidR="007B7D7F">
        <w:rPr>
          <w:rFonts w:ascii="Arial" w:hAnsi="Arial" w:hint="cs"/>
          <w:noProof w:val="0"/>
          <w:rtl/>
        </w:rPr>
        <w:t>,</w:t>
      </w:r>
      <w:r w:rsidR="006C3E21">
        <w:rPr>
          <w:rFonts w:ascii="Arial" w:hAnsi="Arial" w:hint="cs"/>
          <w:noProof w:val="0"/>
          <w:rtl/>
        </w:rPr>
        <w:t xml:space="preserve"> </w:t>
      </w:r>
      <w:r w:rsidR="007B7D7F">
        <w:rPr>
          <w:rFonts w:ascii="Arial" w:hAnsi="Arial" w:hint="cs"/>
          <w:noProof w:val="0"/>
          <w:rtl/>
        </w:rPr>
        <w:t>ו</w:t>
      </w:r>
      <w:r w:rsidR="006C3E21">
        <w:rPr>
          <w:rFonts w:ascii="Arial" w:hAnsi="Arial" w:hint="cs"/>
          <w:noProof w:val="0"/>
          <w:rtl/>
        </w:rPr>
        <w:t>לפיכך, הצעת הנתבע כי ה</w:t>
      </w:r>
      <w:r w:rsidR="007B7D7F">
        <w:rPr>
          <w:rFonts w:ascii="Arial" w:hAnsi="Arial" w:hint="cs"/>
          <w:noProof w:val="0"/>
          <w:rtl/>
        </w:rPr>
        <w:t xml:space="preserve">ם </w:t>
      </w:r>
      <w:r w:rsidR="006C3E21">
        <w:rPr>
          <w:rFonts w:ascii="Arial" w:hAnsi="Arial" w:hint="cs"/>
          <w:noProof w:val="0"/>
          <w:rtl/>
        </w:rPr>
        <w:t xml:space="preserve">יגיעו יחדיו לסניף של הנתבע כדי לפתוח חשבון משותף, כרוכה בטרחה מרובה ומיותרת </w:t>
      </w:r>
      <w:r w:rsidR="007B7D7F">
        <w:rPr>
          <w:rFonts w:ascii="Arial" w:hAnsi="Arial" w:hint="cs"/>
          <w:noProof w:val="0"/>
          <w:rtl/>
        </w:rPr>
        <w:t xml:space="preserve">לחלוטין. </w:t>
      </w:r>
    </w:p>
    <w:p w:rsidR="006C3E21" w:rsidRDefault="006C3E21" w:rsidP="007B7D7F">
      <w:pPr>
        <w:ind w:left="720"/>
        <w:jc w:val="both"/>
        <w:rPr>
          <w:rFonts w:ascii="Arial" w:hAnsi="Arial"/>
          <w:noProof w:val="0"/>
          <w:rtl/>
        </w:rPr>
      </w:pPr>
    </w:p>
    <w:p w:rsidR="006C3E21" w:rsidRDefault="006C3E21" w:rsidP="0060319B">
      <w:pPr>
        <w:pStyle w:val="ad"/>
        <w:numPr>
          <w:ilvl w:val="0"/>
          <w:numId w:val="1"/>
        </w:numPr>
        <w:spacing w:line="360" w:lineRule="auto"/>
        <w:jc w:val="both"/>
        <w:rPr>
          <w:rFonts w:ascii="Arial" w:hAnsi="Arial"/>
          <w:noProof w:val="0"/>
        </w:rPr>
      </w:pPr>
      <w:r>
        <w:rPr>
          <w:rFonts w:ascii="Arial" w:hAnsi="Arial" w:hint="cs"/>
          <w:noProof w:val="0"/>
          <w:rtl/>
        </w:rPr>
        <w:t>רק בחלוף 4 חודשים נוספים, בעקבות פניות הנאמן לנציבות תלונות הציבור אצל הנתבע</w:t>
      </w:r>
      <w:r w:rsidR="007B7D7F">
        <w:rPr>
          <w:rFonts w:ascii="Arial" w:hAnsi="Arial" w:hint="cs"/>
          <w:noProof w:val="0"/>
          <w:rtl/>
        </w:rPr>
        <w:t>,</w:t>
      </w:r>
      <w:r>
        <w:rPr>
          <w:rFonts w:ascii="Arial" w:hAnsi="Arial" w:hint="cs"/>
          <w:noProof w:val="0"/>
          <w:rtl/>
        </w:rPr>
        <w:t xml:space="preserve"> העלה האחרון במכתבו מיום 04.12.2019, נספח 28 לכתב התביעה, הצעה חלופית </w:t>
      </w:r>
      <w:r w:rsidR="007B7D7F">
        <w:rPr>
          <w:rFonts w:ascii="Arial" w:hAnsi="Arial" w:hint="cs"/>
          <w:noProof w:val="0"/>
          <w:rtl/>
        </w:rPr>
        <w:t>ו</w:t>
      </w:r>
      <w:r>
        <w:rPr>
          <w:rFonts w:ascii="Arial" w:hAnsi="Arial" w:hint="cs"/>
          <w:noProof w:val="0"/>
          <w:rtl/>
        </w:rPr>
        <w:t xml:space="preserve">"מרוככת" לפיה התובע ואחיותיו אינם נדרשים להגיע יחדיו לסניף של הנתבע </w:t>
      </w:r>
      <w:r w:rsidR="007B7D7F">
        <w:rPr>
          <w:rFonts w:ascii="Arial" w:hAnsi="Arial" w:hint="cs"/>
          <w:noProof w:val="0"/>
          <w:rtl/>
        </w:rPr>
        <w:t xml:space="preserve">והם רשאים להגיע במועדים שונים </w:t>
      </w:r>
      <w:r>
        <w:rPr>
          <w:rFonts w:ascii="Arial" w:hAnsi="Arial" w:hint="cs"/>
          <w:noProof w:val="0"/>
          <w:rtl/>
        </w:rPr>
        <w:t xml:space="preserve">לסניפים הנוחים להם לאחר תיאום מראש. בנסיבות העניין, לאור ניסיון העבר, גילן ומצבן הבריאותי של אחיות התובע, אין לבוא בטרוניה לנאמן אשר ביקש לברר עם הנתבע פרטים מפרטים שונים טרם הוא יטריח אותן להגיע לסניפי הנתבע. </w:t>
      </w:r>
      <w:r w:rsidR="0060319B">
        <w:rPr>
          <w:rFonts w:ascii="Arial" w:hAnsi="Arial" w:hint="cs"/>
          <w:noProof w:val="0"/>
          <w:rtl/>
        </w:rPr>
        <w:t>דא עקא</w:t>
      </w:r>
      <w:r>
        <w:rPr>
          <w:rFonts w:ascii="Arial" w:hAnsi="Arial" w:hint="cs"/>
          <w:noProof w:val="0"/>
          <w:rtl/>
        </w:rPr>
        <w:t>, ולמצער, טרם ניתן היה ליישם את הצעתו המרוככת של הנתבע, כאמור לעיל, עדיה ז"ל הלכה לבית עולמה</w:t>
      </w:r>
      <w:r w:rsidR="009A58BF">
        <w:rPr>
          <w:rFonts w:ascii="Arial" w:hAnsi="Arial" w:hint="cs"/>
          <w:noProof w:val="0"/>
          <w:rtl/>
        </w:rPr>
        <w:t>,</w:t>
      </w:r>
      <w:r>
        <w:rPr>
          <w:rFonts w:ascii="Arial" w:hAnsi="Arial" w:hint="cs"/>
          <w:noProof w:val="0"/>
          <w:rtl/>
        </w:rPr>
        <w:t xml:space="preserve"> ובכך נגרם עיכוב נוסף </w:t>
      </w:r>
      <w:r w:rsidR="009A58BF">
        <w:rPr>
          <w:rFonts w:ascii="Arial" w:hAnsi="Arial" w:hint="cs"/>
          <w:noProof w:val="0"/>
          <w:rtl/>
        </w:rPr>
        <w:t xml:space="preserve">בהעברת פיקדון יבנה לתובע, כל זאת </w:t>
      </w:r>
      <w:r w:rsidR="0060319B">
        <w:rPr>
          <w:rFonts w:ascii="Arial" w:hAnsi="Arial" w:hint="cs"/>
          <w:noProof w:val="0"/>
          <w:rtl/>
        </w:rPr>
        <w:t>בשל</w:t>
      </w:r>
      <w:r w:rsidR="009A58BF">
        <w:rPr>
          <w:rFonts w:ascii="Arial" w:hAnsi="Arial" w:hint="cs"/>
          <w:noProof w:val="0"/>
          <w:rtl/>
        </w:rPr>
        <w:t xml:space="preserve"> התעקשות שלא כדין מצד הנתבע שלא להעבי</w:t>
      </w:r>
      <w:r w:rsidR="0060319B">
        <w:rPr>
          <w:rFonts w:ascii="Arial" w:hAnsi="Arial" w:hint="cs"/>
          <w:noProof w:val="0"/>
          <w:rtl/>
        </w:rPr>
        <w:t>ר את הפיקדון הנ"ל לתובע ישירות מ</w:t>
      </w:r>
      <w:r w:rsidR="009A58BF">
        <w:rPr>
          <w:rFonts w:ascii="Arial" w:hAnsi="Arial" w:hint="cs"/>
          <w:noProof w:val="0"/>
          <w:rtl/>
        </w:rPr>
        <w:t xml:space="preserve">חשבון הנאמנות. </w:t>
      </w:r>
    </w:p>
    <w:p w:rsidR="009A58BF" w:rsidRPr="0060319B" w:rsidRDefault="009A58BF" w:rsidP="0060319B">
      <w:pPr>
        <w:pStyle w:val="ad"/>
        <w:jc w:val="both"/>
        <w:rPr>
          <w:rFonts w:ascii="Arial" w:hAnsi="Arial"/>
          <w:noProof w:val="0"/>
        </w:rPr>
      </w:pPr>
    </w:p>
    <w:p w:rsidR="009A58BF" w:rsidRDefault="009A58BF" w:rsidP="0060319B">
      <w:pPr>
        <w:pStyle w:val="ad"/>
        <w:numPr>
          <w:ilvl w:val="0"/>
          <w:numId w:val="1"/>
        </w:numPr>
        <w:spacing w:line="360" w:lineRule="auto"/>
        <w:jc w:val="both"/>
        <w:rPr>
          <w:rFonts w:ascii="Arial" w:hAnsi="Arial"/>
          <w:noProof w:val="0"/>
        </w:rPr>
      </w:pPr>
      <w:r>
        <w:rPr>
          <w:rFonts w:ascii="Arial" w:hAnsi="Arial" w:hint="cs"/>
          <w:noProof w:val="0"/>
          <w:rtl/>
        </w:rPr>
        <w:t>בס"ק 4</w:t>
      </w:r>
      <w:r w:rsidR="0060319B">
        <w:rPr>
          <w:rFonts w:ascii="Arial" w:hAnsi="Arial" w:hint="cs"/>
          <w:noProof w:val="0"/>
          <w:rtl/>
        </w:rPr>
        <w:t>(</w:t>
      </w:r>
      <w:r>
        <w:rPr>
          <w:rFonts w:ascii="Arial" w:hAnsi="Arial" w:hint="cs"/>
          <w:noProof w:val="0"/>
          <w:rtl/>
        </w:rPr>
        <w:t>ו</w:t>
      </w:r>
      <w:r w:rsidR="0060319B">
        <w:rPr>
          <w:rFonts w:ascii="Arial" w:hAnsi="Arial" w:hint="cs"/>
          <w:noProof w:val="0"/>
          <w:rtl/>
        </w:rPr>
        <w:t>)</w:t>
      </w:r>
      <w:r>
        <w:rPr>
          <w:rFonts w:ascii="Arial" w:hAnsi="Arial" w:hint="cs"/>
          <w:noProof w:val="0"/>
          <w:rtl/>
        </w:rPr>
        <w:t xml:space="preserve"> לכתב ההגנה טען הנתבע כאילו הוא הציע לנאמן פתרון נוסף, לפיו אחיותיו של התובע יחתמו בפני נוטריון על הסכמתן להעביר את פיקדון יבנה לחשבון התובע. </w:t>
      </w:r>
      <w:r w:rsidR="0060319B">
        <w:rPr>
          <w:rFonts w:ascii="Arial" w:hAnsi="Arial" w:hint="cs"/>
          <w:noProof w:val="0"/>
          <w:rtl/>
        </w:rPr>
        <w:t xml:space="preserve">לטיעון הנ''ל </w:t>
      </w:r>
      <w:r>
        <w:rPr>
          <w:rFonts w:ascii="Arial" w:hAnsi="Arial" w:hint="cs"/>
          <w:noProof w:val="0"/>
          <w:rtl/>
        </w:rPr>
        <w:t>אין זכר בחלופת המכתבים הממ</w:t>
      </w:r>
      <w:r w:rsidR="0060319B">
        <w:rPr>
          <w:rFonts w:ascii="Arial" w:hAnsi="Arial" w:hint="cs"/>
          <w:noProof w:val="0"/>
          <w:rtl/>
        </w:rPr>
        <w:t>ושכת שהיתה בין הצדדים, ולפיכך הו</w:t>
      </w:r>
      <w:r>
        <w:rPr>
          <w:rFonts w:ascii="Arial" w:hAnsi="Arial" w:hint="cs"/>
          <w:noProof w:val="0"/>
          <w:rtl/>
        </w:rPr>
        <w:t xml:space="preserve">א לא הוכח כדבעי. </w:t>
      </w:r>
    </w:p>
    <w:p w:rsidR="009A58BF" w:rsidRPr="009A58BF" w:rsidRDefault="009A58BF" w:rsidP="009A58BF">
      <w:pPr>
        <w:pStyle w:val="ad"/>
        <w:rPr>
          <w:rFonts w:ascii="Arial" w:hAnsi="Arial"/>
          <w:noProof w:val="0"/>
          <w:rtl/>
        </w:rPr>
      </w:pPr>
    </w:p>
    <w:p w:rsidR="009A58BF" w:rsidRDefault="009A58BF" w:rsidP="00871F89">
      <w:pPr>
        <w:pStyle w:val="ad"/>
        <w:numPr>
          <w:ilvl w:val="0"/>
          <w:numId w:val="1"/>
        </w:numPr>
        <w:spacing w:line="360" w:lineRule="auto"/>
        <w:jc w:val="both"/>
        <w:rPr>
          <w:rFonts w:ascii="Arial" w:hAnsi="Arial"/>
          <w:noProof w:val="0"/>
        </w:rPr>
      </w:pPr>
      <w:r>
        <w:rPr>
          <w:rFonts w:ascii="Arial" w:hAnsi="Arial" w:hint="cs"/>
          <w:noProof w:val="0"/>
          <w:rtl/>
        </w:rPr>
        <w:t xml:space="preserve">גם טענת הנתבע כאילו לאחר העברת פיקדון אמנון ותמר לתובע הוא הבהיר לנאמן שעליו להימנע מהעברת כספים מעסקאות עתידיות לחשבון הנאמנות, טענה זו לא נתמכה בכל ראיה ולפיכך אין לקבלה. </w:t>
      </w:r>
      <w:r w:rsidR="002E69A9">
        <w:rPr>
          <w:rFonts w:ascii="Arial" w:hAnsi="Arial" w:hint="cs"/>
          <w:noProof w:val="0"/>
          <w:rtl/>
        </w:rPr>
        <w:t>אדרבא ואדרבא, הנתבע</w:t>
      </w:r>
      <w:r w:rsidR="0060319B">
        <w:rPr>
          <w:rFonts w:ascii="Arial" w:hAnsi="Arial" w:hint="cs"/>
          <w:noProof w:val="0"/>
          <w:rtl/>
        </w:rPr>
        <w:t>,</w:t>
      </w:r>
      <w:r w:rsidR="002E69A9">
        <w:rPr>
          <w:rFonts w:ascii="Arial" w:hAnsi="Arial" w:hint="cs"/>
          <w:noProof w:val="0"/>
          <w:rtl/>
        </w:rPr>
        <w:t xml:space="preserve"> וטעמיו עמו, נמנע מהזמנתו של אלעד אשר טיפל בהעברת פיקדון אמנון ו</w:t>
      </w:r>
      <w:r w:rsidR="0060319B">
        <w:rPr>
          <w:rFonts w:ascii="Arial" w:hAnsi="Arial" w:hint="cs"/>
          <w:noProof w:val="0"/>
          <w:rtl/>
        </w:rPr>
        <w:t xml:space="preserve">תמר </w:t>
      </w:r>
      <w:r w:rsidR="002E69A9">
        <w:rPr>
          <w:rFonts w:ascii="Arial" w:hAnsi="Arial" w:hint="cs"/>
          <w:noProof w:val="0"/>
          <w:rtl/>
        </w:rPr>
        <w:t>לתובע על מנת לתמוך בטענתו</w:t>
      </w:r>
      <w:r w:rsidR="0060319B">
        <w:rPr>
          <w:rFonts w:ascii="Arial" w:hAnsi="Arial" w:hint="cs"/>
          <w:noProof w:val="0"/>
          <w:rtl/>
        </w:rPr>
        <w:t xml:space="preserve"> בנדון. </w:t>
      </w:r>
      <w:r w:rsidR="002E69A9">
        <w:rPr>
          <w:rFonts w:ascii="Arial" w:hAnsi="Arial" w:hint="cs"/>
          <w:noProof w:val="0"/>
          <w:rtl/>
        </w:rPr>
        <w:t>בנסיבות העניין, מתקיימת החזקה שנקבעה בהלכה הפסוקה, לפיה לו נשמעה עדותו של אלעד במשפט, היא היתה תומכת בגרסה הנגדית של התובע, לפיה לא ניתן לנאמן</w:t>
      </w:r>
      <w:r w:rsidR="00871F89">
        <w:rPr>
          <w:rFonts w:ascii="Arial" w:hAnsi="Arial" w:hint="cs"/>
          <w:noProof w:val="0"/>
          <w:rtl/>
        </w:rPr>
        <w:t xml:space="preserve"> הסבר כאמור.</w:t>
      </w:r>
    </w:p>
    <w:p w:rsidR="00057560" w:rsidRPr="00057560" w:rsidRDefault="00057560" w:rsidP="00057560">
      <w:pPr>
        <w:pStyle w:val="ad"/>
        <w:rPr>
          <w:rFonts w:ascii="Arial" w:hAnsi="Arial"/>
          <w:noProof w:val="0"/>
          <w:rtl/>
        </w:rPr>
      </w:pPr>
    </w:p>
    <w:p w:rsidR="00057560" w:rsidRDefault="00057560" w:rsidP="00871F89">
      <w:pPr>
        <w:pStyle w:val="ad"/>
        <w:numPr>
          <w:ilvl w:val="0"/>
          <w:numId w:val="1"/>
        </w:numPr>
        <w:spacing w:line="360" w:lineRule="auto"/>
        <w:jc w:val="both"/>
        <w:rPr>
          <w:rFonts w:ascii="Arial" w:hAnsi="Arial"/>
          <w:noProof w:val="0"/>
        </w:rPr>
      </w:pPr>
      <w:r>
        <w:rPr>
          <w:rFonts w:ascii="Arial" w:hAnsi="Arial" w:hint="cs"/>
          <w:noProof w:val="0"/>
          <w:rtl/>
        </w:rPr>
        <w:lastRenderedPageBreak/>
        <w:t>בסיכומיהם הפנו שני הצדדים לאחריות המוטלת על ה</w:t>
      </w:r>
      <w:r w:rsidR="00871F89">
        <w:rPr>
          <w:rFonts w:ascii="Arial" w:hAnsi="Arial" w:hint="cs"/>
          <w:noProof w:val="0"/>
          <w:rtl/>
        </w:rPr>
        <w:t>בנק</w:t>
      </w:r>
      <w:r>
        <w:rPr>
          <w:rFonts w:ascii="Arial" w:hAnsi="Arial" w:hint="cs"/>
          <w:noProof w:val="0"/>
          <w:rtl/>
        </w:rPr>
        <w:t xml:space="preserve"> ב</w:t>
      </w:r>
      <w:r w:rsidR="00871F89">
        <w:rPr>
          <w:rFonts w:ascii="Arial" w:hAnsi="Arial" w:hint="cs"/>
          <w:noProof w:val="0"/>
          <w:rtl/>
        </w:rPr>
        <w:t>יחס ל</w:t>
      </w:r>
      <w:r>
        <w:rPr>
          <w:rFonts w:ascii="Arial" w:hAnsi="Arial" w:hint="cs"/>
          <w:noProof w:val="0"/>
          <w:rtl/>
        </w:rPr>
        <w:t>חשבונות</w:t>
      </w:r>
      <w:r w:rsidR="00871F89">
        <w:rPr>
          <w:rFonts w:ascii="Arial" w:hAnsi="Arial" w:hint="cs"/>
          <w:noProof w:val="0"/>
          <w:rtl/>
        </w:rPr>
        <w:t xml:space="preserve"> המתנהלים אצלו</w:t>
      </w:r>
      <w:r>
        <w:rPr>
          <w:rFonts w:ascii="Arial" w:hAnsi="Arial" w:hint="cs"/>
          <w:noProof w:val="0"/>
          <w:rtl/>
        </w:rPr>
        <w:t>, לרבות חשבון נאמנות כבמקרה דנן. בנדון, אין אלא להפנות ל</w:t>
      </w:r>
      <w:r w:rsidR="00871F89">
        <w:rPr>
          <w:rFonts w:ascii="Arial" w:hAnsi="Arial" w:hint="cs"/>
          <w:b/>
          <w:bCs/>
          <w:noProof w:val="0"/>
          <w:rtl/>
        </w:rPr>
        <w:t>-</w:t>
      </w:r>
      <w:r>
        <w:rPr>
          <w:rFonts w:ascii="Arial" w:hAnsi="Arial" w:hint="cs"/>
          <w:b/>
          <w:bCs/>
          <w:noProof w:val="0"/>
          <w:rtl/>
        </w:rPr>
        <w:t>ע"א 8068/01 איילון חברה לביטוח בע"מ נ' עיזבון המנוחה חיה אופליגר ז"ח (פורסם בנבו)</w:t>
      </w:r>
      <w:r>
        <w:rPr>
          <w:rFonts w:ascii="Arial" w:hAnsi="Arial" w:hint="cs"/>
          <w:noProof w:val="0"/>
          <w:rtl/>
        </w:rPr>
        <w:t>, בו נפסק כדלקמן:</w:t>
      </w:r>
    </w:p>
    <w:p w:rsidR="00696474" w:rsidRPr="00871F89" w:rsidRDefault="00696474" w:rsidP="00871F89">
      <w:pPr>
        <w:jc w:val="both"/>
        <w:rPr>
          <w:rFonts w:ascii="Arial" w:hAnsi="Arial"/>
          <w:noProof w:val="0"/>
          <w:rtl/>
        </w:rPr>
      </w:pPr>
    </w:p>
    <w:p w:rsidR="00696474" w:rsidRPr="00696474" w:rsidRDefault="00696474" w:rsidP="00CA3573">
      <w:pPr>
        <w:pStyle w:val="ae"/>
        <w:spacing w:line="360" w:lineRule="auto"/>
        <w:ind w:left="1440" w:firstLine="0"/>
        <w:rPr>
          <w:rFonts w:ascii="David" w:hAnsi="David" w:cs="David"/>
          <w:b/>
          <w:bCs/>
          <w:sz w:val="24"/>
          <w:rtl/>
        </w:rPr>
      </w:pPr>
      <w:r>
        <w:rPr>
          <w:rFonts w:ascii="David" w:hAnsi="David" w:cs="David" w:hint="cs"/>
          <w:b/>
          <w:bCs/>
          <w:sz w:val="24"/>
          <w:rtl/>
        </w:rPr>
        <w:t>"</w:t>
      </w:r>
      <w:r w:rsidR="00871F89">
        <w:rPr>
          <w:rFonts w:ascii="David" w:hAnsi="David" w:cs="David" w:hint="cs"/>
          <w:b/>
          <w:bCs/>
          <w:sz w:val="24"/>
          <w:rtl/>
        </w:rPr>
        <w:t>......</w:t>
      </w:r>
      <w:r w:rsidRPr="00696474">
        <w:rPr>
          <w:rFonts w:ascii="David" w:hAnsi="David" w:cs="David"/>
          <w:b/>
          <w:bCs/>
          <w:sz w:val="24"/>
          <w:rtl/>
        </w:rPr>
        <w:t xml:space="preserve"> </w:t>
      </w:r>
      <w:r w:rsidRPr="00871F89">
        <w:rPr>
          <w:rFonts w:ascii="David" w:hAnsi="David" w:cs="David"/>
          <w:b/>
          <w:bCs/>
          <w:sz w:val="24"/>
          <w:rtl/>
        </w:rPr>
        <w:t>ברוח המגמה המרחיבה את חובת הזהירות המוטלת על הבנקים, כפי שפורטה לעיל, קבע בית</w:t>
      </w:r>
      <w:r w:rsidRPr="00871F89">
        <w:rPr>
          <w:rFonts w:ascii="David" w:hAnsi="David" w:cs="David"/>
          <w:b/>
          <w:bCs/>
          <w:position w:val="4"/>
          <w:sz w:val="24"/>
          <w:rtl/>
        </w:rPr>
        <w:t>-</w:t>
      </w:r>
      <w:r w:rsidRPr="00871F89">
        <w:rPr>
          <w:rFonts w:ascii="David" w:hAnsi="David" w:cs="David"/>
          <w:b/>
          <w:bCs/>
          <w:sz w:val="24"/>
          <w:rtl/>
        </w:rPr>
        <w:t>משפט קמא כי בנק פאג"י ובנק דיסקונט חבים בחובת</w:t>
      </w:r>
      <w:r w:rsidRPr="00696474">
        <w:rPr>
          <w:rFonts w:ascii="David" w:hAnsi="David" w:cs="David"/>
          <w:b/>
          <w:bCs/>
          <w:sz w:val="24"/>
          <w:rtl/>
        </w:rPr>
        <w:t xml:space="preserve"> זהירות ליורשים אף כי אלה לא היו לקוחותיהם בחשבון העיזבון או בחשבון הפיקדונות. גישה זו מקובלת עליי, ואולם נראה לי כי </w:t>
      </w:r>
      <w:r w:rsidRPr="00457875">
        <w:rPr>
          <w:rFonts w:ascii="David" w:hAnsi="David" w:cs="David"/>
          <w:b/>
          <w:bCs/>
          <w:sz w:val="24"/>
          <w:u w:val="single"/>
          <w:rtl/>
        </w:rPr>
        <w:t>ככל שעסקינן בחובת זהירות כלפי מי שאיננו לקוח הבנק, מן הראוי הוא כי גבולותיה של החובה יהיו מצומצמים מאוד. במילים אחרות, ככלל אין להטיל על הבנק חובה לבלוש, לדרוש, לחקור ולפשפש בפעולות השונות שמבצע מנהל עיזבון בחשבון העיזבון, או שמבצע עורך</w:t>
      </w:r>
      <w:r w:rsidRPr="00457875">
        <w:rPr>
          <w:rFonts w:ascii="David" w:hAnsi="David" w:cs="David"/>
          <w:b/>
          <w:bCs/>
          <w:position w:val="4"/>
          <w:sz w:val="24"/>
          <w:u w:val="single"/>
          <w:rtl/>
        </w:rPr>
        <w:t>-</w:t>
      </w:r>
      <w:r w:rsidRPr="00457875">
        <w:rPr>
          <w:rFonts w:ascii="David" w:hAnsi="David" w:cs="David"/>
          <w:b/>
          <w:bCs/>
          <w:sz w:val="24"/>
          <w:u w:val="single"/>
          <w:rtl/>
        </w:rPr>
        <w:t>דין בחשבון פיקדונות, אפילו אם מקום שהיה חוקר כך ומפשפש היה יכול לגלות כי הנציג, בעל החשבון, מבצע בו פעולות שלא כדין ביחסיו עם בעל העניין בחשבון. בעיניי יש לצמצם את חובתו של הבנק לדעת כי הנציג כבעל החשבון עושה בו פעולות המהוות הפרה של חובות האמון כלפי בעל עניין בו רק מקום שמתקיימות נסיבות מחשידות, חריגות ויוצאות דופן במידה כזו שהבנק אינו רשאי להישאר אדיש אליהן ולהעלים מהן עין</w:t>
      </w:r>
      <w:r w:rsidRPr="00696474">
        <w:rPr>
          <w:rFonts w:ascii="David" w:hAnsi="David" w:cs="David"/>
          <w:b/>
          <w:bCs/>
          <w:sz w:val="24"/>
          <w:rtl/>
        </w:rPr>
        <w:t>. במקרים כאלה קמה חובה על הבנק לדרוש בדבר, ובלבד שהאמצעים שיידרש הבנק לנקוט בנסיבות אלה כ</w:t>
      </w:r>
      <w:r w:rsidR="00457875">
        <w:rPr>
          <w:rFonts w:ascii="David" w:hAnsi="David" w:cs="David" w:hint="cs"/>
          <w:b/>
          <w:bCs/>
          <w:sz w:val="24"/>
          <w:rtl/>
        </w:rPr>
        <w:t>'</w:t>
      </w:r>
      <w:r w:rsidRPr="00696474">
        <w:rPr>
          <w:rFonts w:ascii="David" w:hAnsi="David" w:cs="David"/>
          <w:b/>
          <w:bCs/>
          <w:sz w:val="24"/>
          <w:rtl/>
        </w:rPr>
        <w:t>בנק סביר</w:t>
      </w:r>
      <w:r w:rsidR="00457875">
        <w:rPr>
          <w:rFonts w:ascii="David" w:hAnsi="David" w:cs="David" w:hint="cs"/>
          <w:b/>
          <w:bCs/>
          <w:sz w:val="24"/>
          <w:rtl/>
        </w:rPr>
        <w:t>'</w:t>
      </w:r>
      <w:r w:rsidRPr="00696474">
        <w:rPr>
          <w:rFonts w:ascii="David" w:hAnsi="David" w:cs="David"/>
          <w:b/>
          <w:bCs/>
          <w:sz w:val="24"/>
          <w:rtl/>
        </w:rPr>
        <w:t xml:space="preserve"> יהיו פשוטים וברורים. כל גישה אחרת יש בה כדי להרחיב את היקף האחריות הנזיקית המוטלת על בנקים מעבר למידה הראויה, מכוח הסטנדרטים האובייקטיביים הקבועים בעוולת הרשלנות. הרחבה כזו אינה רצויה בעיניי ככל שהדבר נוגע לחובת זהירות כלפי מי שאינו לקוח של הבנק, מכמה טעמים: ראשית, בין הבנק ובין לקוחותיו מתקיימת מערכת יחסים חוזית היוצרת יחסי קירבה הדוקים שאינם מתקיימים בין הבנק ובין מי שאינם לקוחותיו. יחסי קירבה אלה משליכים, מטבע הדברים, על היקף חובת הזהירות שצריך הבנק, ויכול, לשאת בה כלפי לקוחותיו, ובין היתר מוטלת עליו מכוחה חובת פיקוח למניעת פעולות של שליחת יד או גניבת כספים שהפקיד הלקוח בידי הבנק. חובה זו מוטלת על הבנק הן בכל הנוגע למעשים בלתי כשרים שעלולים לבצע עובדים או הפועלים מטעמו </w:t>
      </w:r>
      <w:r w:rsidR="00457875">
        <w:rPr>
          <w:rFonts w:ascii="David" w:hAnsi="David" w:cs="David" w:hint="cs"/>
          <w:b/>
          <w:bCs/>
          <w:sz w:val="24"/>
          <w:rtl/>
        </w:rPr>
        <w:t>......</w:t>
      </w:r>
      <w:r w:rsidRPr="00696474">
        <w:rPr>
          <w:rFonts w:ascii="David" w:hAnsi="David" w:cs="David"/>
          <w:b/>
          <w:bCs/>
          <w:sz w:val="24"/>
          <w:rtl/>
        </w:rPr>
        <w:t xml:space="preserve"> הן, במידה מצומצמת יותר, בכל הנוגע למעשים בלתי כשרים שעלולים לבצע מי שמורשים מטעם הלקוח לפעול בחשבונו </w:t>
      </w:r>
      <w:r w:rsidR="00457875">
        <w:rPr>
          <w:rFonts w:ascii="David" w:hAnsi="David" w:cs="David" w:hint="cs"/>
          <w:b/>
          <w:bCs/>
          <w:sz w:val="24"/>
          <w:rtl/>
        </w:rPr>
        <w:t>....</w:t>
      </w:r>
      <w:r w:rsidRPr="00696474">
        <w:rPr>
          <w:rFonts w:ascii="David" w:hAnsi="David" w:cs="David"/>
          <w:b/>
          <w:bCs/>
          <w:sz w:val="24"/>
          <w:rtl/>
        </w:rPr>
        <w:t xml:space="preserve"> החובה לנקוט אמצעי זהירות ופיקוח לשמירה על אינטרסים של בעלי עניין בכספים המופקדים בחשבונות מקום שהחשבונות מתנהלים בבנק על</w:t>
      </w:r>
      <w:r w:rsidRPr="00696474">
        <w:rPr>
          <w:rFonts w:ascii="David" w:hAnsi="David" w:cs="David"/>
          <w:b/>
          <w:bCs/>
          <w:position w:val="4"/>
          <w:sz w:val="24"/>
          <w:rtl/>
        </w:rPr>
        <w:t>-</w:t>
      </w:r>
      <w:r w:rsidRPr="00696474">
        <w:rPr>
          <w:rFonts w:ascii="David" w:hAnsi="David" w:cs="David"/>
          <w:b/>
          <w:bCs/>
          <w:sz w:val="24"/>
          <w:rtl/>
        </w:rPr>
        <w:t xml:space="preserve">ידי נציג שהוא בעל החשבון, היא מעצם טיבה חובה בעייתית ומורכבת יותר. חובת הפיקוח על חשבונות ממין זה תצריך במקרים רבים נתונים שאינם בידי הבנק, ושאותם אין הוא אמור לקבל באופן שוטף לצורך ניהולם של חשבונות אלה. </w:t>
      </w:r>
      <w:r w:rsidR="00457875">
        <w:rPr>
          <w:rFonts w:ascii="David" w:hAnsi="David" w:cs="David" w:hint="cs"/>
          <w:b/>
          <w:bCs/>
          <w:sz w:val="24"/>
          <w:rtl/>
        </w:rPr>
        <w:t>....</w:t>
      </w:r>
      <w:r w:rsidRPr="00696474">
        <w:rPr>
          <w:rFonts w:ascii="David" w:hAnsi="David" w:cs="David"/>
          <w:b/>
          <w:bCs/>
          <w:sz w:val="24"/>
          <w:rtl/>
        </w:rPr>
        <w:t xml:space="preserve">. טעם נוסף שלא להטיל חובת פיקוח הדוקה מדי לשמירה על אינטרסים של צד </w:t>
      </w:r>
      <w:r w:rsidRPr="00696474">
        <w:rPr>
          <w:rFonts w:ascii="David" w:hAnsi="David" w:cs="David"/>
          <w:b/>
          <w:bCs/>
          <w:sz w:val="24"/>
          <w:rtl/>
        </w:rPr>
        <w:lastRenderedPageBreak/>
        <w:t>שלישי שאיננו הלקוח נעוץ בכך שחובה כזו עלולה לעמוד במתח עם החובות המוטלות על הבנק כלפי לקוחו</w:t>
      </w:r>
      <w:r w:rsidRPr="00696474">
        <w:rPr>
          <w:rFonts w:ascii="David" w:hAnsi="David" w:cs="David"/>
          <w:b/>
          <w:bCs/>
          <w:position w:val="4"/>
          <w:sz w:val="24"/>
          <w:rtl/>
        </w:rPr>
        <w:t>-</w:t>
      </w:r>
      <w:r w:rsidRPr="00696474">
        <w:rPr>
          <w:rFonts w:ascii="David" w:hAnsi="David" w:cs="David"/>
          <w:b/>
          <w:bCs/>
          <w:sz w:val="24"/>
          <w:rtl/>
        </w:rPr>
        <w:t>הנציג, שהוא בעל חשבון, ושכלפיו בראש ובראשונה חב הבנק חובות חוזיות וכן חובות זהירות ואמון. שיקול נוסף הפועל לצמצום חובת הפיקוח שיש להטיל על הבנק כלפי בעלי עניין בחשבון שאינם לקוחותיו הוא שמידת הסתמכותו של הלקוח על פיקוח מצד הבנק לגבי הנעשה בחשבון היא, מטבע הדברים, רבה מזו של צד שלישי, שאין לו כל שיג ושיח עם הבנק. אכן, ניתן לצפות כי צד שלישי כזה יפעיל בעצמו רמת פיקוח לגבי הנעשה בחשבון שהוא מעוניין בו, שתהא גבוהה מזו שהלקוח מפעיל בהסתמכו על הבנק. לבסוף, הטלת חובה רחבה מדי על הבנק כלפי מי שאינם לקוחותיו תתרגם את עצמה קרוב לוודאי לתוספת עלויות עבור שירותי הבנקים. יתר</w:t>
      </w:r>
      <w:r w:rsidRPr="00696474">
        <w:rPr>
          <w:rFonts w:ascii="David" w:hAnsi="David" w:cs="David"/>
          <w:b/>
          <w:bCs/>
          <w:position w:val="4"/>
          <w:sz w:val="24"/>
          <w:rtl/>
        </w:rPr>
        <w:t>-</w:t>
      </w:r>
      <w:r w:rsidRPr="00696474">
        <w:rPr>
          <w:rFonts w:ascii="David" w:hAnsi="David" w:cs="David"/>
          <w:b/>
          <w:bCs/>
          <w:sz w:val="24"/>
          <w:rtl/>
        </w:rPr>
        <w:t>על</w:t>
      </w:r>
      <w:r w:rsidRPr="00696474">
        <w:rPr>
          <w:rFonts w:ascii="David" w:hAnsi="David" w:cs="David"/>
          <w:b/>
          <w:bCs/>
          <w:position w:val="4"/>
          <w:sz w:val="24"/>
          <w:rtl/>
        </w:rPr>
        <w:t>-</w:t>
      </w:r>
      <w:r w:rsidRPr="00696474">
        <w:rPr>
          <w:rFonts w:ascii="David" w:hAnsi="David" w:cs="David"/>
          <w:b/>
          <w:bCs/>
          <w:sz w:val="24"/>
          <w:rtl/>
        </w:rPr>
        <w:t xml:space="preserve">כן, היא עלולה לתרגם את עצמה למעורבות בלתי רצויה מצד הבנק בפעילות המתנהלת בחשבונות בשל חששם של הבנקים להיחשף לאחריות נזיקית. מעורבות כזו פוגעת באוטונומיה של הלקוח, כל לקוח, ואפילו הוא נציג, לנהל את ענייני החשבון לפי ראות עיניו בלא שהבנק </w:t>
      </w:r>
      <w:r w:rsidR="00CA3573">
        <w:rPr>
          <w:rFonts w:ascii="David" w:hAnsi="David" w:cs="David" w:hint="cs"/>
          <w:b/>
          <w:bCs/>
          <w:sz w:val="24"/>
          <w:rtl/>
        </w:rPr>
        <w:t>'</w:t>
      </w:r>
      <w:r w:rsidRPr="00696474">
        <w:rPr>
          <w:rFonts w:ascii="David" w:hAnsi="David" w:cs="David"/>
          <w:b/>
          <w:bCs/>
          <w:sz w:val="24"/>
          <w:rtl/>
        </w:rPr>
        <w:t>ינשוף בעורפו</w:t>
      </w:r>
      <w:r w:rsidR="00CA3573">
        <w:rPr>
          <w:rFonts w:ascii="David" w:hAnsi="David" w:cs="David" w:hint="cs"/>
          <w:b/>
          <w:bCs/>
          <w:sz w:val="24"/>
          <w:rtl/>
        </w:rPr>
        <w:t>'</w:t>
      </w:r>
      <w:r w:rsidRPr="00696474">
        <w:rPr>
          <w:rFonts w:ascii="David" w:hAnsi="David" w:cs="David"/>
          <w:b/>
          <w:bCs/>
          <w:sz w:val="24"/>
          <w:rtl/>
        </w:rPr>
        <w:t xml:space="preserve"> ויתחקה אחר מעשיו. על אחת כמה וכמה נכון הדבר מקום שהחשבון הנוגע בדבר הוא חשבון קרדיטורי המכיל פיקדונות</w:t>
      </w:r>
      <w:r w:rsidR="00CA3573">
        <w:rPr>
          <w:rFonts w:ascii="David" w:hAnsi="David" w:cs="David" w:hint="cs"/>
          <w:b/>
          <w:bCs/>
          <w:sz w:val="24"/>
          <w:rtl/>
        </w:rPr>
        <w:t xml:space="preserve"> ....</w:t>
      </w:r>
      <w:r w:rsidRPr="00696474">
        <w:rPr>
          <w:rFonts w:ascii="David" w:hAnsi="David" w:cs="David"/>
          <w:b/>
          <w:bCs/>
          <w:sz w:val="24"/>
          <w:rtl/>
        </w:rPr>
        <w:t>. לגבי חשבונות כאלה הבנק אמור לשמש בדרך</w:t>
      </w:r>
      <w:r w:rsidRPr="00696474">
        <w:rPr>
          <w:rFonts w:ascii="David" w:hAnsi="David" w:cs="David"/>
          <w:b/>
          <w:bCs/>
          <w:position w:val="4"/>
          <w:sz w:val="24"/>
          <w:rtl/>
        </w:rPr>
        <w:t>-</w:t>
      </w:r>
      <w:r w:rsidRPr="00696474">
        <w:rPr>
          <w:rFonts w:ascii="David" w:hAnsi="David" w:cs="David"/>
          <w:b/>
          <w:bCs/>
          <w:sz w:val="24"/>
          <w:rtl/>
        </w:rPr>
        <w:t>כלל פלטפורמה ניטרלית לפעולות פיננסיות. עם זאת כאשר מתרחשות לנגד עיני הבנק פעולות חריגות שיש בהן כדי לעורר חשד ממשי באשר לתקינותן או לכשרותן, אין הבנק יכול לשמש זירה שותקת לפעולות כאלה, ועליו כאמור לעורר שאלות, לבצע בדיקות ולנקוט אמצעים סבירים המתבקשים בנסיבות העניין</w:t>
      </w:r>
      <w:r>
        <w:rPr>
          <w:rFonts w:ascii="David" w:hAnsi="David" w:cs="David" w:hint="cs"/>
          <w:b/>
          <w:bCs/>
          <w:sz w:val="24"/>
          <w:rtl/>
        </w:rPr>
        <w:t xml:space="preserve">" </w:t>
      </w:r>
      <w:r w:rsidRPr="00696474">
        <w:rPr>
          <w:rFonts w:ascii="David" w:hAnsi="David" w:cs="David" w:hint="cs"/>
          <w:sz w:val="24"/>
          <w:rtl/>
        </w:rPr>
        <w:t>(שם, פסקה 15 לפסק הדין)</w:t>
      </w:r>
      <w:r w:rsidR="00CA3573">
        <w:rPr>
          <w:rFonts w:ascii="David" w:hAnsi="David" w:cs="David" w:hint="cs"/>
          <w:sz w:val="24"/>
          <w:rtl/>
        </w:rPr>
        <w:t xml:space="preserve">(ההדגשה אינה במקור </w:t>
      </w:r>
      <w:r w:rsidR="00CA3573">
        <w:rPr>
          <w:rFonts w:ascii="David" w:hAnsi="David" w:cs="David"/>
          <w:sz w:val="24"/>
          <w:rtl/>
        </w:rPr>
        <w:t>–</w:t>
      </w:r>
      <w:r w:rsidR="00CA3573">
        <w:rPr>
          <w:rFonts w:ascii="David" w:hAnsi="David" w:cs="David" w:hint="cs"/>
          <w:sz w:val="24"/>
          <w:rtl/>
        </w:rPr>
        <w:t xml:space="preserve"> ר.ח.)</w:t>
      </w:r>
      <w:r w:rsidRPr="00696474">
        <w:rPr>
          <w:rFonts w:ascii="David" w:hAnsi="David" w:cs="David"/>
          <w:sz w:val="24"/>
          <w:rtl/>
        </w:rPr>
        <w:t>.</w:t>
      </w:r>
    </w:p>
    <w:p w:rsidR="00057560" w:rsidRPr="00057560" w:rsidRDefault="00057560" w:rsidP="00057560">
      <w:pPr>
        <w:pStyle w:val="ad"/>
        <w:rPr>
          <w:rFonts w:ascii="Arial" w:hAnsi="Arial"/>
          <w:noProof w:val="0"/>
          <w:rtl/>
        </w:rPr>
      </w:pPr>
    </w:p>
    <w:p w:rsidR="00057560" w:rsidRDefault="00057560" w:rsidP="00CA3573">
      <w:pPr>
        <w:pStyle w:val="ad"/>
        <w:spacing w:line="360" w:lineRule="auto"/>
        <w:jc w:val="both"/>
        <w:rPr>
          <w:rFonts w:ascii="Arial" w:hAnsi="Arial"/>
          <w:noProof w:val="0"/>
        </w:rPr>
      </w:pPr>
      <w:r>
        <w:rPr>
          <w:rFonts w:ascii="Arial" w:hAnsi="Arial" w:hint="cs"/>
          <w:noProof w:val="0"/>
          <w:rtl/>
        </w:rPr>
        <w:t xml:space="preserve">במקרה דנן הנתבע לא </w:t>
      </w:r>
      <w:r w:rsidR="00CA3573">
        <w:rPr>
          <w:rFonts w:ascii="Arial" w:hAnsi="Arial" w:hint="cs"/>
          <w:noProof w:val="0"/>
          <w:rtl/>
        </w:rPr>
        <w:t xml:space="preserve">טען וממילא לא הוכיח קיומן של </w:t>
      </w:r>
      <w:r>
        <w:rPr>
          <w:rFonts w:ascii="Arial" w:hAnsi="Arial" w:hint="cs"/>
          <w:noProof w:val="0"/>
          <w:rtl/>
        </w:rPr>
        <w:t>נסיבות מחשידות, חריגות ויוצאות דופן המחייבות א</w:t>
      </w:r>
      <w:r w:rsidR="00CA3573">
        <w:rPr>
          <w:rFonts w:ascii="Arial" w:hAnsi="Arial" w:hint="cs"/>
          <w:noProof w:val="0"/>
          <w:rtl/>
        </w:rPr>
        <w:t>ו</w:t>
      </w:r>
      <w:r>
        <w:rPr>
          <w:rFonts w:ascii="Arial" w:hAnsi="Arial" w:hint="cs"/>
          <w:noProof w:val="0"/>
          <w:rtl/>
        </w:rPr>
        <w:t>ת</w:t>
      </w:r>
      <w:r w:rsidR="00CA3573">
        <w:rPr>
          <w:rFonts w:ascii="Arial" w:hAnsi="Arial" w:hint="cs"/>
          <w:noProof w:val="0"/>
          <w:rtl/>
        </w:rPr>
        <w:t xml:space="preserve">ו </w:t>
      </w:r>
      <w:r>
        <w:rPr>
          <w:rFonts w:ascii="Arial" w:hAnsi="Arial" w:hint="cs"/>
          <w:noProof w:val="0"/>
          <w:rtl/>
        </w:rPr>
        <w:t xml:space="preserve">לדרוש בדבר ולנקוט אמצעי זהירות ופיקוח לשמירה על האינטרס של בעלי עניין פוטנציאליים בפיקדון יבנה </w:t>
      </w:r>
      <w:r>
        <w:rPr>
          <w:rFonts w:ascii="Arial" w:hAnsi="Arial"/>
          <w:noProof w:val="0"/>
          <w:rtl/>
        </w:rPr>
        <w:t>–</w:t>
      </w:r>
      <w:r>
        <w:rPr>
          <w:rFonts w:ascii="Arial" w:hAnsi="Arial" w:hint="cs"/>
          <w:noProof w:val="0"/>
          <w:rtl/>
        </w:rPr>
        <w:t xml:space="preserve"> הלא הן אחיותיו של התובע </w:t>
      </w:r>
      <w:r>
        <w:rPr>
          <w:rFonts w:ascii="Arial" w:hAnsi="Arial"/>
          <w:noProof w:val="0"/>
          <w:rtl/>
        </w:rPr>
        <w:t>–</w:t>
      </w:r>
      <w:r>
        <w:rPr>
          <w:rFonts w:ascii="Arial" w:hAnsi="Arial" w:hint="cs"/>
          <w:noProof w:val="0"/>
          <w:rtl/>
        </w:rPr>
        <w:t xml:space="preserve"> כמצוות ההלכה הפסוקה לעיל. שוב אפוא עולה ומתחייבת המסקנה כי סירוב הנתבע להעברת פיקדון יבנה לתובע, הערמת קשיים והצבת תנאים מתנאים שונים לכך, לא היתה בדין יסודה.  </w:t>
      </w:r>
    </w:p>
    <w:p w:rsidR="00057560" w:rsidRPr="00057560" w:rsidRDefault="00057560" w:rsidP="00057560">
      <w:pPr>
        <w:pStyle w:val="ad"/>
        <w:rPr>
          <w:rFonts w:ascii="Arial" w:hAnsi="Arial"/>
          <w:noProof w:val="0"/>
          <w:rtl/>
        </w:rPr>
      </w:pPr>
    </w:p>
    <w:p w:rsidR="00057560" w:rsidRDefault="00057560" w:rsidP="009A2881">
      <w:pPr>
        <w:pStyle w:val="ad"/>
        <w:numPr>
          <w:ilvl w:val="0"/>
          <w:numId w:val="1"/>
        </w:numPr>
        <w:spacing w:line="360" w:lineRule="auto"/>
        <w:jc w:val="both"/>
        <w:rPr>
          <w:rFonts w:ascii="Arial" w:hAnsi="Arial"/>
          <w:noProof w:val="0"/>
        </w:rPr>
      </w:pPr>
      <w:r>
        <w:rPr>
          <w:rFonts w:ascii="Arial" w:hAnsi="Arial" w:hint="cs"/>
          <w:noProof w:val="0"/>
          <w:rtl/>
        </w:rPr>
        <w:t xml:space="preserve">כאמור, בסיכומיו העלה הנתבע טענה אחת ויחידה כנגד </w:t>
      </w:r>
      <w:r w:rsidR="009A2881">
        <w:rPr>
          <w:rFonts w:ascii="Arial" w:hAnsi="Arial" w:hint="cs"/>
          <w:noProof w:val="0"/>
          <w:rtl/>
        </w:rPr>
        <w:t xml:space="preserve">סכום התביעה, לפיה, באותה מידה שהתובע טען כי הוא התכוון להשקיע </w:t>
      </w:r>
      <w:r w:rsidR="000E186B">
        <w:rPr>
          <w:rFonts w:ascii="Arial" w:hAnsi="Arial" w:hint="cs"/>
          <w:noProof w:val="0"/>
          <w:rtl/>
        </w:rPr>
        <w:t xml:space="preserve">את כספי הפיקדון בקרן אלפא, הוא יכול היה לטעון כי </w:t>
      </w:r>
      <w:r w:rsidR="009A2881">
        <w:rPr>
          <w:rFonts w:ascii="Arial" w:hAnsi="Arial" w:hint="cs"/>
          <w:noProof w:val="0"/>
          <w:rtl/>
        </w:rPr>
        <w:t xml:space="preserve">בכוונתו היה להשקיע </w:t>
      </w:r>
      <w:r w:rsidR="000E186B">
        <w:rPr>
          <w:rFonts w:ascii="Arial" w:hAnsi="Arial" w:hint="cs"/>
          <w:noProof w:val="0"/>
          <w:rtl/>
        </w:rPr>
        <w:t>אותו</w:t>
      </w:r>
      <w:r w:rsidR="009A2881">
        <w:rPr>
          <w:rFonts w:ascii="Arial" w:hAnsi="Arial" w:hint="cs"/>
          <w:noProof w:val="0"/>
          <w:rtl/>
        </w:rPr>
        <w:t xml:space="preserve"> פיקדון</w:t>
      </w:r>
      <w:r w:rsidR="000E186B">
        <w:rPr>
          <w:rFonts w:ascii="Arial" w:hAnsi="Arial" w:hint="cs"/>
          <w:noProof w:val="0"/>
          <w:rtl/>
        </w:rPr>
        <w:t xml:space="preserve"> באפיק השקעה אחר. </w:t>
      </w:r>
    </w:p>
    <w:p w:rsidR="000E186B" w:rsidRPr="009A2881" w:rsidRDefault="000E186B" w:rsidP="00CA3573">
      <w:pPr>
        <w:pStyle w:val="ad"/>
        <w:jc w:val="both"/>
        <w:rPr>
          <w:rFonts w:ascii="Arial" w:hAnsi="Arial"/>
          <w:noProof w:val="0"/>
          <w:rtl/>
        </w:rPr>
      </w:pPr>
    </w:p>
    <w:p w:rsidR="000E186B" w:rsidRDefault="000E186B" w:rsidP="009A2881">
      <w:pPr>
        <w:pStyle w:val="ad"/>
        <w:spacing w:line="360" w:lineRule="auto"/>
        <w:jc w:val="both"/>
        <w:rPr>
          <w:rFonts w:ascii="Arial" w:hAnsi="Arial"/>
          <w:noProof w:val="0"/>
          <w:rtl/>
        </w:rPr>
      </w:pPr>
      <w:r>
        <w:rPr>
          <w:rFonts w:ascii="Arial" w:hAnsi="Arial" w:hint="cs"/>
          <w:noProof w:val="0"/>
          <w:rtl/>
        </w:rPr>
        <w:t>טענת הנתבע לעיל אינה מ</w:t>
      </w:r>
      <w:r w:rsidR="009A2881">
        <w:rPr>
          <w:rFonts w:ascii="Arial" w:hAnsi="Arial" w:hint="cs"/>
          <w:noProof w:val="0"/>
          <w:rtl/>
        </w:rPr>
        <w:t>חזיקה מים. גרסת</w:t>
      </w:r>
      <w:r>
        <w:rPr>
          <w:rFonts w:ascii="Arial" w:hAnsi="Arial" w:hint="cs"/>
          <w:noProof w:val="0"/>
          <w:rtl/>
        </w:rPr>
        <w:t xml:space="preserve"> התובע כי הוא התכוון להשקיע את פיקדון יבנה בקרן אלפא לא עלתה בעלמא אלא היא </w:t>
      </w:r>
      <w:r w:rsidR="009A2881">
        <w:rPr>
          <w:rFonts w:ascii="Arial" w:hAnsi="Arial" w:hint="cs"/>
          <w:noProof w:val="0"/>
          <w:rtl/>
        </w:rPr>
        <w:t xml:space="preserve">נתמכת בטענה כי </w:t>
      </w:r>
      <w:r>
        <w:rPr>
          <w:rFonts w:ascii="Arial" w:hAnsi="Arial" w:hint="cs"/>
          <w:noProof w:val="0"/>
          <w:rtl/>
        </w:rPr>
        <w:t xml:space="preserve">הוא השקיע 1,000,000 ₪ מתוך התמורה שקיבל בעסקת יבנה באותה קרן והתשואה שקיבל עבור אותה השקעה. ודוק, טענות התובע בנדון נתמכו בראיות המעידות על אמיתותן (נספח </w:t>
      </w:r>
      <w:r w:rsidRPr="000E186B">
        <w:rPr>
          <w:rFonts w:ascii="Arial" w:hAnsi="Arial" w:hint="cs"/>
          <w:noProof w:val="0"/>
          <w:sz w:val="20"/>
          <w:szCs w:val="20"/>
        </w:rPr>
        <w:t>A</w:t>
      </w:r>
      <w:r>
        <w:rPr>
          <w:rFonts w:ascii="Arial" w:hAnsi="Arial" w:hint="cs"/>
          <w:noProof w:val="0"/>
          <w:rtl/>
        </w:rPr>
        <w:t xml:space="preserve"> לכתב התביעה ונספחים </w:t>
      </w:r>
      <w:r w:rsidRPr="000E186B">
        <w:rPr>
          <w:rFonts w:ascii="Arial" w:hAnsi="Arial" w:hint="cs"/>
          <w:noProof w:val="0"/>
          <w:sz w:val="20"/>
          <w:szCs w:val="20"/>
        </w:rPr>
        <w:t>B1</w:t>
      </w:r>
      <w:r>
        <w:rPr>
          <w:rFonts w:ascii="Arial" w:hAnsi="Arial" w:hint="cs"/>
          <w:noProof w:val="0"/>
          <w:rtl/>
        </w:rPr>
        <w:t xml:space="preserve"> ו-</w:t>
      </w:r>
      <w:r w:rsidRPr="000E186B">
        <w:rPr>
          <w:rFonts w:ascii="Arial" w:hAnsi="Arial" w:hint="cs"/>
          <w:noProof w:val="0"/>
          <w:sz w:val="20"/>
          <w:szCs w:val="20"/>
        </w:rPr>
        <w:t>C</w:t>
      </w:r>
      <w:r>
        <w:rPr>
          <w:rFonts w:ascii="Arial" w:hAnsi="Arial" w:hint="cs"/>
          <w:noProof w:val="0"/>
          <w:rtl/>
        </w:rPr>
        <w:t xml:space="preserve"> </w:t>
      </w:r>
      <w:r>
        <w:rPr>
          <w:rFonts w:ascii="Arial" w:hAnsi="Arial" w:hint="cs"/>
          <w:noProof w:val="0"/>
          <w:rtl/>
        </w:rPr>
        <w:lastRenderedPageBreak/>
        <w:t xml:space="preserve">לכתב התשובה שהוגש מפני כתב ההגנה). לא זאת אלא זאת, התובע לא נשאל בחקירתו הנגדית לעניין זה, ובכלל ביחס לנזקיו המפורטים בתביעה, ולפיכך טענותיו לא הופרכו.  </w:t>
      </w:r>
    </w:p>
    <w:p w:rsidR="000E186B" w:rsidRDefault="000E186B" w:rsidP="009A2881">
      <w:pPr>
        <w:pStyle w:val="ad"/>
        <w:jc w:val="both"/>
        <w:rPr>
          <w:rFonts w:ascii="Arial" w:hAnsi="Arial"/>
          <w:noProof w:val="0"/>
          <w:rtl/>
        </w:rPr>
      </w:pPr>
    </w:p>
    <w:p w:rsidR="000E186B" w:rsidRDefault="000E186B" w:rsidP="000E186B">
      <w:pPr>
        <w:pStyle w:val="ad"/>
        <w:spacing w:line="360" w:lineRule="auto"/>
        <w:jc w:val="both"/>
        <w:rPr>
          <w:rFonts w:ascii="Arial" w:hAnsi="Arial"/>
          <w:noProof w:val="0"/>
          <w:rtl/>
        </w:rPr>
      </w:pPr>
      <w:r>
        <w:rPr>
          <w:rFonts w:ascii="Arial" w:hAnsi="Arial" w:hint="cs"/>
          <w:noProof w:val="0"/>
          <w:rtl/>
        </w:rPr>
        <w:t xml:space="preserve">לאור האמור לעיל, יש לקבל את דרישת התובע </w:t>
      </w:r>
      <w:r w:rsidR="009A2881">
        <w:rPr>
          <w:rFonts w:ascii="Arial" w:hAnsi="Arial" w:hint="cs"/>
          <w:noProof w:val="0"/>
          <w:rtl/>
        </w:rPr>
        <w:t>ו</w:t>
      </w:r>
      <w:r>
        <w:rPr>
          <w:rFonts w:ascii="Arial" w:hAnsi="Arial" w:hint="cs"/>
          <w:noProof w:val="0"/>
          <w:rtl/>
        </w:rPr>
        <w:t>לחייב את הנתבע ב</w:t>
      </w:r>
      <w:r w:rsidR="00A47310">
        <w:rPr>
          <w:rFonts w:ascii="Arial" w:hAnsi="Arial" w:hint="cs"/>
          <w:noProof w:val="0"/>
          <w:rtl/>
        </w:rPr>
        <w:t xml:space="preserve">הפסד שנגרם לו בשל העיכוב בהעברת פיקדון יבנה לידיו. </w:t>
      </w:r>
    </w:p>
    <w:p w:rsidR="00A47310" w:rsidRDefault="00A47310" w:rsidP="009A2881">
      <w:pPr>
        <w:pStyle w:val="ad"/>
        <w:jc w:val="both"/>
        <w:rPr>
          <w:rFonts w:ascii="Arial" w:hAnsi="Arial"/>
          <w:noProof w:val="0"/>
          <w:rtl/>
        </w:rPr>
      </w:pPr>
    </w:p>
    <w:p w:rsidR="000E186B" w:rsidRDefault="009A2881" w:rsidP="009A2881">
      <w:pPr>
        <w:pStyle w:val="ad"/>
        <w:numPr>
          <w:ilvl w:val="0"/>
          <w:numId w:val="1"/>
        </w:numPr>
        <w:spacing w:line="360" w:lineRule="auto"/>
        <w:jc w:val="both"/>
        <w:rPr>
          <w:rFonts w:ascii="Arial" w:hAnsi="Arial"/>
          <w:noProof w:val="0"/>
        </w:rPr>
      </w:pPr>
      <w:r>
        <w:rPr>
          <w:rFonts w:ascii="Arial" w:hAnsi="Arial" w:hint="cs"/>
          <w:noProof w:val="0"/>
          <w:rtl/>
        </w:rPr>
        <w:t xml:space="preserve">לאור </w:t>
      </w:r>
      <w:r w:rsidR="00A47310">
        <w:rPr>
          <w:rFonts w:ascii="Arial" w:hAnsi="Arial" w:hint="cs"/>
          <w:noProof w:val="0"/>
          <w:rtl/>
        </w:rPr>
        <w:t>מכלול נסיבות המקרה, לרבות העובדה כי סירוב הנתבע להעביר את פיקדון יבנה לתובע אינו בדין יסודו, פרק הזמן שחלף ממועד הדרישה להעברת הפיקדון ועד לשחרור</w:t>
      </w:r>
      <w:r>
        <w:rPr>
          <w:rFonts w:ascii="Arial" w:hAnsi="Arial" w:hint="cs"/>
          <w:noProof w:val="0"/>
          <w:rtl/>
        </w:rPr>
        <w:t xml:space="preserve">ו בפועל, ריבוי </w:t>
      </w:r>
      <w:r w:rsidR="00A47310">
        <w:rPr>
          <w:rFonts w:ascii="Arial" w:hAnsi="Arial" w:hint="cs"/>
          <w:noProof w:val="0"/>
          <w:rtl/>
        </w:rPr>
        <w:t xml:space="preserve">פניות התובע לנתבע בנדון, כמו גם התעקשות האחרון לנהל את ההליך עד תום, לאור כל אלה התובע בהחלט זכאי לפיצוי בגין עגמת נפש בסכום הצנוע שהתבקש בסך של 5,000 ₪. </w:t>
      </w:r>
    </w:p>
    <w:p w:rsidR="00A47310" w:rsidRPr="009A2881" w:rsidRDefault="00A47310" w:rsidP="009A2881">
      <w:pPr>
        <w:pStyle w:val="ad"/>
        <w:jc w:val="both"/>
        <w:rPr>
          <w:rFonts w:ascii="Arial" w:hAnsi="Arial"/>
          <w:noProof w:val="0"/>
        </w:rPr>
      </w:pPr>
    </w:p>
    <w:p w:rsidR="00A47310" w:rsidRDefault="00FD4AE2" w:rsidP="006C4783">
      <w:pPr>
        <w:pStyle w:val="ad"/>
        <w:numPr>
          <w:ilvl w:val="0"/>
          <w:numId w:val="1"/>
        </w:numPr>
        <w:spacing w:line="360" w:lineRule="auto"/>
        <w:jc w:val="both"/>
        <w:rPr>
          <w:rFonts w:ascii="Arial" w:hAnsi="Arial"/>
          <w:noProof w:val="0"/>
        </w:rPr>
      </w:pPr>
      <w:r>
        <w:rPr>
          <w:rFonts w:ascii="Arial" w:hAnsi="Arial" w:hint="cs"/>
          <w:noProof w:val="0"/>
          <w:rtl/>
        </w:rPr>
        <w:t>ל</w:t>
      </w:r>
      <w:r w:rsidR="009A2881">
        <w:rPr>
          <w:rFonts w:ascii="Arial" w:hAnsi="Arial" w:hint="cs"/>
          <w:noProof w:val="0"/>
          <w:rtl/>
        </w:rPr>
        <w:t>סיכום</w:t>
      </w:r>
      <w:r>
        <w:rPr>
          <w:rFonts w:ascii="Arial" w:hAnsi="Arial" w:hint="cs"/>
          <w:noProof w:val="0"/>
          <w:rtl/>
        </w:rPr>
        <w:t>, אני מקבל את התביעה ומחייב את הנתבע לשלם לתובע, באמצעות בא כוחו, את מלוא סכום התביעה בסך של 35,312 ₪ בתוספת הפרשי הצמדה וריבית כחוק מיום הגשת התביעה, 24.02.2021</w:t>
      </w:r>
      <w:r w:rsidR="006C4783">
        <w:rPr>
          <w:rFonts w:ascii="Arial" w:hAnsi="Arial" w:hint="cs"/>
          <w:noProof w:val="0"/>
          <w:rtl/>
        </w:rPr>
        <w:t>,</w:t>
      </w:r>
      <w:r>
        <w:rPr>
          <w:rFonts w:ascii="Arial" w:hAnsi="Arial" w:hint="cs"/>
          <w:noProof w:val="0"/>
          <w:rtl/>
        </w:rPr>
        <w:t xml:space="preserve"> ועד התשלום המלא בפועל</w:t>
      </w:r>
      <w:r w:rsidR="00696474">
        <w:rPr>
          <w:rFonts w:ascii="Arial" w:hAnsi="Arial" w:hint="cs"/>
          <w:noProof w:val="0"/>
          <w:rtl/>
        </w:rPr>
        <w:t xml:space="preserve"> ובס</w:t>
      </w:r>
      <w:r w:rsidR="006C4783">
        <w:rPr>
          <w:rFonts w:ascii="Arial" w:hAnsi="Arial" w:hint="cs"/>
          <w:noProof w:val="0"/>
          <w:rtl/>
        </w:rPr>
        <w:t>ה''כ</w:t>
      </w:r>
      <w:r w:rsidR="00696474">
        <w:rPr>
          <w:rFonts w:ascii="Arial" w:hAnsi="Arial" w:hint="cs"/>
          <w:noProof w:val="0"/>
          <w:rtl/>
        </w:rPr>
        <w:t xml:space="preserve"> </w:t>
      </w:r>
      <w:r w:rsidR="007474B7">
        <w:rPr>
          <w:rFonts w:ascii="Arial" w:hAnsi="Arial" w:hint="cs"/>
          <w:noProof w:val="0"/>
          <w:rtl/>
        </w:rPr>
        <w:t>40,295 ₪.</w:t>
      </w:r>
    </w:p>
    <w:p w:rsidR="00FD4AE2" w:rsidRPr="00FD4AE2" w:rsidRDefault="00FD4AE2" w:rsidP="00FD4AE2">
      <w:pPr>
        <w:pStyle w:val="ad"/>
        <w:rPr>
          <w:rFonts w:ascii="Arial" w:hAnsi="Arial"/>
          <w:noProof w:val="0"/>
          <w:rtl/>
        </w:rPr>
      </w:pPr>
    </w:p>
    <w:p w:rsidR="00FD4AE2" w:rsidRDefault="00FD4AE2" w:rsidP="006C4783">
      <w:pPr>
        <w:pStyle w:val="ad"/>
        <w:spacing w:line="360" w:lineRule="auto"/>
        <w:jc w:val="both"/>
        <w:rPr>
          <w:rFonts w:ascii="Arial" w:hAnsi="Arial"/>
          <w:noProof w:val="0"/>
          <w:rtl/>
        </w:rPr>
      </w:pPr>
      <w:r>
        <w:rPr>
          <w:rFonts w:ascii="Arial" w:hAnsi="Arial" w:hint="cs"/>
          <w:noProof w:val="0"/>
          <w:rtl/>
        </w:rPr>
        <w:t xml:space="preserve">כן ישלם הנתבע לתובע, באמצעות בא כוחו, הוצאות האגרה ובנוסף לכך שכ"ט עו"ד בסך של 10,000 ₪ (כולל מע"מ) בתוספת הפרשי הצמדה וריבית כחוק על הוצאות האגרה מיום </w:t>
      </w:r>
      <w:r w:rsidR="006C4783">
        <w:rPr>
          <w:rFonts w:ascii="Arial" w:hAnsi="Arial" w:hint="cs"/>
          <w:noProof w:val="0"/>
          <w:rtl/>
        </w:rPr>
        <w:t>הוצאתן</w:t>
      </w:r>
      <w:r>
        <w:rPr>
          <w:rFonts w:ascii="Arial" w:hAnsi="Arial" w:hint="cs"/>
          <w:noProof w:val="0"/>
          <w:rtl/>
        </w:rPr>
        <w:t xml:space="preserve"> ועל שכ"ט עו"</w:t>
      </w:r>
      <w:r w:rsidR="00696474">
        <w:rPr>
          <w:rFonts w:ascii="Arial" w:hAnsi="Arial" w:hint="cs"/>
          <w:noProof w:val="0"/>
          <w:rtl/>
        </w:rPr>
        <w:t>ד מהיום ועד התשלום המלא בפועל.</w:t>
      </w:r>
    </w:p>
    <w:p w:rsidR="00696474" w:rsidRDefault="00696474" w:rsidP="006C4783">
      <w:pPr>
        <w:pStyle w:val="ad"/>
        <w:jc w:val="both"/>
        <w:rPr>
          <w:rFonts w:ascii="Arial" w:hAnsi="Arial"/>
          <w:noProof w:val="0"/>
          <w:rtl/>
        </w:rPr>
      </w:pPr>
    </w:p>
    <w:p w:rsidR="00696474" w:rsidRPr="006C3E21" w:rsidRDefault="00696474" w:rsidP="00FD4AE2">
      <w:pPr>
        <w:pStyle w:val="ad"/>
        <w:spacing w:line="360" w:lineRule="auto"/>
        <w:jc w:val="both"/>
        <w:rPr>
          <w:rFonts w:ascii="Arial" w:hAnsi="Arial"/>
          <w:noProof w:val="0"/>
          <w:rtl/>
        </w:rPr>
      </w:pPr>
      <w:r>
        <w:rPr>
          <w:rFonts w:ascii="Arial" w:hAnsi="Arial" w:hint="cs"/>
          <w:noProof w:val="0"/>
          <w:rtl/>
        </w:rPr>
        <w:t xml:space="preserve">מלוא הסכומים לעיל ישולמו עד ליום 11.09.2023.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אוגוסט 2023</w:t>
          </w:r>
        </w:sdtContent>
      </w:sdt>
      <w:r>
        <w:rPr>
          <w:rFonts w:ascii="Arial" w:hAnsi="Arial"/>
          <w:noProof w:val="0"/>
          <w:rtl/>
        </w:rPr>
        <w:t>, בהעדר הצדדים.</w:t>
      </w:r>
    </w:p>
    <w:p w:rsidR="005B0F49" w:rsidRDefault="005B0F49" w:rsidP="007A35A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rsidR="00694556" w:rsidRDefault="002A4602" w:rsidP="00B368FE">
      <w:pPr>
        <w:spacing w:line="360" w:lineRule="auto"/>
        <w:ind w:left="3600" w:firstLine="720"/>
        <w:jc w:val="center"/>
      </w:pPr>
      <w:sdt>
        <w:sdtPr>
          <w:rPr>
            <w:rtl/>
          </w:rPr>
          <w:alias w:val="MergeField"/>
          <w:tag w:val="1237"/>
          <w:id w:val="-1756046602"/>
        </w:sdtPr>
        <w:sdtEndPr/>
        <w:sdtContent>
          <w:r w:rsidR="00293F47">
            <w:drawing>
              <wp:inline distT="0" distB="0" distL="0" distR="0" wp14:editId="50D07946">
                <wp:extent cx="173355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33550" cy="6096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F47" w:rsidRDefault="00293F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A460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A4602">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F47" w:rsidRDefault="00293F4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F47" w:rsidRDefault="00293F4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0CE24A1" wp14:editId="4F5FE0B2">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השלום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A4602">
          <w:pPr>
            <w:rPr>
              <w:b/>
              <w:bCs/>
              <w:noProof w:val="0"/>
              <w:sz w:val="26"/>
              <w:szCs w:val="26"/>
              <w:rtl/>
            </w:rPr>
          </w:pPr>
          <w:sdt>
            <w:sdtPr>
              <w:rPr>
                <w:b/>
                <w:bCs/>
                <w:noProof w:val="0"/>
                <w:sz w:val="26"/>
                <w:szCs w:val="26"/>
                <w:rtl/>
              </w:rPr>
              <w:alias w:val="1170"/>
              <w:tag w:val="1170"/>
              <w:id w:val="299038016"/>
              <w:text w:multiLine="1"/>
            </w:sdtPr>
            <w:sdtEndPr/>
            <w:sdtContent>
              <w:r w:rsidR="00BD455B">
                <w:rPr>
                  <w:b/>
                  <w:bCs/>
                  <w:noProof w:val="0"/>
                  <w:sz w:val="26"/>
                  <w:szCs w:val="26"/>
                  <w:rtl/>
                </w:rPr>
                <w:t>תאד"מ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BD455B">
                <w:rPr>
                  <w:b/>
                  <w:bCs/>
                  <w:noProof w:val="0"/>
                  <w:sz w:val="26"/>
                  <w:szCs w:val="26"/>
                  <w:rtl/>
                </w:rPr>
                <w:t>52996-02-21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D455B">
                <w:rPr>
                  <w:b/>
                  <w:bCs/>
                  <w:noProof w:val="0"/>
                  <w:sz w:val="26"/>
                  <w:szCs w:val="26"/>
                  <w:rtl/>
                </w:rPr>
                <w:t>שריג נ' בנק דיסקונט לישראל בעמ</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F47" w:rsidRDefault="00293F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57D3C"/>
    <w:multiLevelType w:val="hybridMultilevel"/>
    <w:tmpl w:val="B9405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372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37290&amp;lt;/CaseID&amp;gt;_x000d__x000a_        &amp;lt;CaseMonth&amp;gt;2&amp;lt;/CaseMonth&amp;gt;_x000d__x000a_        &amp;lt;CaseYear&amp;gt;2021&amp;lt;/CaseYear&amp;gt;_x000d__x000a_        &amp;lt;CaseNumber&amp;gt;52996&amp;lt;/CaseNumber&amp;gt;_x000d__x000a_        &amp;lt;NumeratorGroupID&amp;gt;1&amp;lt;/NumeratorGroupID&amp;gt;_x000d__x000a_        &amp;lt;CaseName&amp;gt;שריג נ&amp;#39; בנק דיסקונט לישראל בעמ&amp;lt;/CaseName&amp;gt;_x000d__x000a_        &amp;lt;CourtID&amp;gt;26&amp;lt;/CourtID&amp;gt;_x000d__x000a_        &amp;lt;CaseTypeID&amp;gt;10316&amp;lt;/CaseTypeID&amp;gt;_x000d__x000a_        &amp;lt;CaseInterestID&amp;gt;41&amp;lt;/CaseInterestID&amp;gt;_x000d__x000a_        &amp;lt;CaseJudgeName&amp;gt;רמזי חדיד&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2996-02-21&amp;lt;/CaseDisplayIdentifier&amp;gt;_x000d__x000a_        &amp;lt;CaseTypeDesc&amp;gt;תאד&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2-24T11:10:00+02:00&amp;lt;/CaseOpenDate&amp;gt;_x000d__x000a_        &amp;lt;PleaTypeID&amp;gt;4&amp;lt;/PleaTypeID&amp;gt;_x000d__x000a_        &amp;lt;CourtLevelID&amp;gt;1&amp;lt;/CourtLevelID&amp;gt;_x000d__x000a_        &amp;lt;CourtLevelCaseTypeInterestID&amp;gt;2053&amp;lt;/CourtLevelCaseTypeInterestID&amp;gt;_x000d__x000a_        &amp;lt;CaseJudgeFirstName&amp;gt;רמזי&amp;lt;/CaseJudgeFirstName&amp;gt;_x000d__x000a_        &amp;lt;CaseJudgeLastName&amp;gt;חדיד&amp;lt;/CaseJudgeLastName&amp;gt;_x000d__x000a_        &amp;lt;JudicalPersonID&amp;gt;059352013@GOV.IL&amp;lt;/JudicalPersonID&amp;gt;_x000d__x000a_        &amp;lt;IsJudicalPanel&amp;gt;false&amp;lt;/IsJudicalPanel&amp;gt;_x000d__x000a_        &amp;lt;CourtDisplayName&amp;gt;בית משפט השלום בחיפה&amp;lt;/CourtDisplayName&amp;gt;_x000d__x000a_        &amp;lt;IsAllStartDataCollected&amp;gt;true&amp;lt;/IsAllStartDataCollected&amp;gt;_x000d__x000a_        &amp;lt;CaseDesc&amp;gt;תיק עלה ללשכה למתן פסק די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37290&amp;lt;/CaseID&amp;gt;_x000d__x000a_        &amp;lt;CaseMonth&amp;gt;2&amp;lt;/CaseMonth&amp;gt;_x000d__x000a_        &amp;lt;CaseYear&amp;gt;2021&amp;lt;/CaseYear&amp;gt;_x000d__x000a_        &amp;lt;CaseNumber&amp;gt;52996&amp;lt;/CaseNumber&amp;gt;_x000d__x000a_        &amp;lt;NumeratorGroupID&amp;gt;1&amp;lt;/NumeratorGroupID&amp;gt;_x000d__x000a_        &amp;lt;CaseName&amp;gt;שריג נ&amp;#39; בנק דיסקונט לישראל בעמ&amp;lt;/CaseName&amp;gt;_x000d__x000a_        &amp;lt;CourtID&amp;gt;26&amp;lt;/CourtID&amp;gt;_x000d__x000a_        &amp;lt;CaseTypeID&amp;gt;10316&amp;lt;/CaseTypeID&amp;gt;_x000d__x000a_        &amp;lt;CaseInterestID&amp;gt;41&amp;lt;/CaseInterestID&amp;gt;_x000d__x000a_        &amp;lt;CaseJudgeName&amp;gt;רמזי חדיד&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2996-02-21&amp;lt;/CaseDisplayIdentifier&amp;gt;_x000d__x000a_        &amp;lt;CaseTypeDesc&amp;gt;תאד&amp;quot;מ&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21-02-24T11:10:00+02:00&amp;lt;/CaseOpenDate&amp;gt;_x000d__x000a_        &amp;lt;PleaTypeID&amp;gt;4&amp;lt;/PleaTypeID&amp;gt;_x000d__x000a_        &amp;lt;CourtLevelID&amp;gt;1&amp;lt;/CourtLevelID&amp;gt;_x000d__x000a_        &amp;lt;CourtLevelCaseTypeInterestID&amp;gt;2053&amp;lt;/CourtLevelCaseTypeInterestID&amp;gt;_x000d__x000a_        &amp;lt;CaseJudgeFirstName&amp;gt;רמזי&amp;lt;/CaseJudgeFirstName&amp;gt;_x000d__x000a_        &amp;lt;CaseJudgeLastName&amp;gt;חדיד&amp;lt;/CaseJudgeLastName&amp;gt;_x000d__x000a_        &amp;lt;JudicalPersonID&amp;gt;059352013@GOV.IL&amp;lt;/JudicalPersonID&amp;gt;_x000d__x000a_        &amp;lt;IsJudicalPanel&amp;gt;false&amp;lt;/IsJudicalPanel&amp;gt;_x000d__x000a_        &amp;lt;CourtDisplayName&amp;gt;בית משפט השלום בחיפה&amp;lt;/CourtDisplayName&amp;gt;_x000d__x000a_        &amp;lt;IsAllStartDataCollected&amp;gt;true&amp;lt;/IsAllStartDataCollected&amp;gt;_x000d__x000a_        &amp;lt;CaseDesc&amp;gt;תיק עלה ללשכה למתן פסק די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658937&amp;lt;/DecisionID&amp;gt;_x000d__x000a_        &amp;lt;DecisionName&amp;gt;פסק דין  שניתנה ע&amp;quot;י  רמזי חדיד&amp;lt;/DecisionName&amp;gt;_x000d__x000a_        &amp;lt;DecisionStatusID&amp;gt;1&amp;lt;/DecisionStatusID&amp;gt;_x000d__x000a_        &amp;lt;DecisionStatusChangeDate&amp;gt;2023-08-10T14:28:43.257+03:00&amp;lt;/DecisionStatusChangeDate&amp;gt;_x000d__x000a_        &amp;lt;DecisionSignatureDate&amp;gt;2023-08-10T14:28:43.223+03:00&amp;lt;/DecisionSignatureDate&amp;gt;_x000d__x000a_        &amp;lt;DecisionSignatureUserID&amp;gt;059352013@GOV.IL&amp;lt;/DecisionSignatureUserID&amp;gt;_x000d__x000a_        &amp;lt;DecisionCreateDate&amp;gt;2023-08-10T10:39:58.993+03:00&amp;lt;/DecisionCreateDate&amp;gt;_x000d__x000a_        &amp;lt;DecisionChangeDate&amp;gt;2023-08-10T14:28:43.497+03:00&amp;lt;/DecisionChangeDate&amp;gt;_x000d__x000a_        &amp;lt;DecisionChangeUserID&amp;gt;30020664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11005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35201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0206646@GOV.IL&amp;lt;/DecisionCreationUserID&amp;gt;_x000d__x000a_        &amp;lt;DecisionDisplayName&amp;gt;פסק דין  שניתנה ע&amp;quot;י  רמזי חדיד&amp;lt;/DecisionDisplayName&amp;gt;_x000d__x000a_        &amp;lt;IsScanned&amp;gt;false&amp;lt;/IsScanned&amp;gt;_x000d__x000a_        &amp;lt;DecisionSignatureUserName&amp;gt;רמזי חדי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6658937&amp;lt;/DecisionID&amp;gt;_x000d__x000a_        &amp;lt;CaseID&amp;gt;78137290&amp;lt;/CaseID&amp;gt;_x000d__x000a_        &amp;lt;IsOriginal&amp;gt;true&amp;lt;/IsOriginal&amp;gt;_x000d__x000a_        &amp;lt;IsDeleted&amp;gt;false&amp;lt;/IsDeleted&amp;gt;_x000d__x000a_        &amp;lt;CaseName&amp;gt;שריג נ&amp;#39; בנק דיסקונט לישראל בעמ&amp;lt;/CaseName&amp;gt;_x000d__x000a_        &amp;lt;CaseDisplayIdentifier&amp;gt;52996-02-21 תאד&amp;quot;מ&amp;lt;/CaseDisplayIdentifier&amp;gt;_x000d__x000a_      &amp;lt;/dt_DecisionCase&amp;gt;_x000d__x000a_    &amp;lt;/DecisionDS&amp;gt;_x000d__x000a_  &amp;lt;/diffgr:diffgram&amp;gt;_x000d__x000a_&amp;lt;/DecisionDS&amp;gt;"/>
    <w:docVar w:name="DecisionID" w:val="146658937"/>
    <w:docVar w:name="WordClientAssemblyName" w:val="NGCS.Decision.ClientWordBL"/>
    <w:docVar w:name="WordClientClassName" w:val="NGCS.Decision.ClientWordBL.DecisionClient"/>
  </w:docVars>
  <w:rsids>
    <w:rsidRoot w:val="00694556"/>
    <w:rsid w:val="00005C8B"/>
    <w:rsid w:val="00016C35"/>
    <w:rsid w:val="000258FD"/>
    <w:rsid w:val="0004252C"/>
    <w:rsid w:val="00047936"/>
    <w:rsid w:val="000564AB"/>
    <w:rsid w:val="00057560"/>
    <w:rsid w:val="0009054A"/>
    <w:rsid w:val="000C5CE7"/>
    <w:rsid w:val="000E186B"/>
    <w:rsid w:val="001072A9"/>
    <w:rsid w:val="00121F97"/>
    <w:rsid w:val="001277D7"/>
    <w:rsid w:val="00132017"/>
    <w:rsid w:val="0014234E"/>
    <w:rsid w:val="00144A14"/>
    <w:rsid w:val="00145A87"/>
    <w:rsid w:val="0014700D"/>
    <w:rsid w:val="001C4003"/>
    <w:rsid w:val="001D17DF"/>
    <w:rsid w:val="00200A23"/>
    <w:rsid w:val="002119BB"/>
    <w:rsid w:val="002352F7"/>
    <w:rsid w:val="00293F47"/>
    <w:rsid w:val="002A2797"/>
    <w:rsid w:val="002A4602"/>
    <w:rsid w:val="002B6B9F"/>
    <w:rsid w:val="002C7738"/>
    <w:rsid w:val="002E69A9"/>
    <w:rsid w:val="00381D3A"/>
    <w:rsid w:val="003823DA"/>
    <w:rsid w:val="00383C58"/>
    <w:rsid w:val="00384472"/>
    <w:rsid w:val="003A3ABF"/>
    <w:rsid w:val="003E2CB9"/>
    <w:rsid w:val="003E304D"/>
    <w:rsid w:val="00403B01"/>
    <w:rsid w:val="0043595F"/>
    <w:rsid w:val="00454A80"/>
    <w:rsid w:val="00457875"/>
    <w:rsid w:val="0047645A"/>
    <w:rsid w:val="004D49A3"/>
    <w:rsid w:val="004E1D08"/>
    <w:rsid w:val="004E6DEF"/>
    <w:rsid w:val="004E6E3C"/>
    <w:rsid w:val="00505313"/>
    <w:rsid w:val="005124F1"/>
    <w:rsid w:val="00530BAD"/>
    <w:rsid w:val="00547DB7"/>
    <w:rsid w:val="00567324"/>
    <w:rsid w:val="00584B10"/>
    <w:rsid w:val="0059090C"/>
    <w:rsid w:val="005B0F49"/>
    <w:rsid w:val="005B15B2"/>
    <w:rsid w:val="005C294E"/>
    <w:rsid w:val="005C7EC6"/>
    <w:rsid w:val="005D4BDB"/>
    <w:rsid w:val="005D5B05"/>
    <w:rsid w:val="00600141"/>
    <w:rsid w:val="0060319B"/>
    <w:rsid w:val="00622BAA"/>
    <w:rsid w:val="00625C89"/>
    <w:rsid w:val="00671BD5"/>
    <w:rsid w:val="006805C1"/>
    <w:rsid w:val="006816EC"/>
    <w:rsid w:val="00684616"/>
    <w:rsid w:val="00694556"/>
    <w:rsid w:val="00696474"/>
    <w:rsid w:val="006A43D0"/>
    <w:rsid w:val="006C3E21"/>
    <w:rsid w:val="006C4783"/>
    <w:rsid w:val="006E0D5D"/>
    <w:rsid w:val="006E1A53"/>
    <w:rsid w:val="007056AA"/>
    <w:rsid w:val="007200CC"/>
    <w:rsid w:val="00722AE9"/>
    <w:rsid w:val="00744F41"/>
    <w:rsid w:val="007474B7"/>
    <w:rsid w:val="00756678"/>
    <w:rsid w:val="00756680"/>
    <w:rsid w:val="0076111B"/>
    <w:rsid w:val="00772605"/>
    <w:rsid w:val="00777228"/>
    <w:rsid w:val="007A24FE"/>
    <w:rsid w:val="007A35AA"/>
    <w:rsid w:val="007A4AC7"/>
    <w:rsid w:val="007B7D7F"/>
    <w:rsid w:val="007F1048"/>
    <w:rsid w:val="00820005"/>
    <w:rsid w:val="00827011"/>
    <w:rsid w:val="00846D27"/>
    <w:rsid w:val="008610A7"/>
    <w:rsid w:val="00871F89"/>
    <w:rsid w:val="00881E31"/>
    <w:rsid w:val="008B64FB"/>
    <w:rsid w:val="008E1332"/>
    <w:rsid w:val="00903896"/>
    <w:rsid w:val="00905671"/>
    <w:rsid w:val="00910151"/>
    <w:rsid w:val="00927813"/>
    <w:rsid w:val="00943E43"/>
    <w:rsid w:val="00944D13"/>
    <w:rsid w:val="00957C90"/>
    <w:rsid w:val="00961F34"/>
    <w:rsid w:val="009A2881"/>
    <w:rsid w:val="009A58BF"/>
    <w:rsid w:val="009E0263"/>
    <w:rsid w:val="00A267CF"/>
    <w:rsid w:val="00A43458"/>
    <w:rsid w:val="00A47310"/>
    <w:rsid w:val="00AC4E19"/>
    <w:rsid w:val="00AD231E"/>
    <w:rsid w:val="00AF1ED6"/>
    <w:rsid w:val="00B368FE"/>
    <w:rsid w:val="00B40B71"/>
    <w:rsid w:val="00B80CBD"/>
    <w:rsid w:val="00B960C7"/>
    <w:rsid w:val="00BC3369"/>
    <w:rsid w:val="00BD455B"/>
    <w:rsid w:val="00BF77EE"/>
    <w:rsid w:val="00C32E0F"/>
    <w:rsid w:val="00C42BF9"/>
    <w:rsid w:val="00C82C24"/>
    <w:rsid w:val="00C83E56"/>
    <w:rsid w:val="00C924A6"/>
    <w:rsid w:val="00CA3573"/>
    <w:rsid w:val="00CB19A9"/>
    <w:rsid w:val="00CC25F6"/>
    <w:rsid w:val="00D21225"/>
    <w:rsid w:val="00D319B3"/>
    <w:rsid w:val="00D41C0C"/>
    <w:rsid w:val="00D51F0A"/>
    <w:rsid w:val="00D53924"/>
    <w:rsid w:val="00D60849"/>
    <w:rsid w:val="00D96D8C"/>
    <w:rsid w:val="00DD337E"/>
    <w:rsid w:val="00E00B6F"/>
    <w:rsid w:val="00E26F5C"/>
    <w:rsid w:val="00E54642"/>
    <w:rsid w:val="00E64D6A"/>
    <w:rsid w:val="00E8321F"/>
    <w:rsid w:val="00E83470"/>
    <w:rsid w:val="00E85393"/>
    <w:rsid w:val="00E97908"/>
    <w:rsid w:val="00EA4C83"/>
    <w:rsid w:val="00EB12F1"/>
    <w:rsid w:val="00ED6453"/>
    <w:rsid w:val="00ED7C78"/>
    <w:rsid w:val="00EF3ED0"/>
    <w:rsid w:val="00F17E56"/>
    <w:rsid w:val="00F247BD"/>
    <w:rsid w:val="00F41D24"/>
    <w:rsid w:val="00F90166"/>
    <w:rsid w:val="00FC56DC"/>
    <w:rsid w:val="00FD4AE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5:docId w15:val="{1E80D9A6-1C5D-4BC2-9543-3ABB23501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B12F1"/>
    <w:pPr>
      <w:ind w:left="720"/>
      <w:contextualSpacing/>
    </w:pPr>
  </w:style>
  <w:style w:type="character" w:styleId="Hyperlink">
    <w:name w:val="Hyperlink"/>
    <w:semiHidden/>
    <w:unhideWhenUsed/>
    <w:rsid w:val="00696474"/>
    <w:rPr>
      <w:color w:val="0000FF"/>
      <w:u w:val="single"/>
    </w:rPr>
  </w:style>
  <w:style w:type="paragraph" w:customStyle="1" w:styleId="ae">
    <w:name w:val="כללי"/>
    <w:basedOn w:val="a"/>
    <w:rsid w:val="00696474"/>
    <w:pPr>
      <w:overflowPunct w:val="0"/>
      <w:autoSpaceDE w:val="0"/>
      <w:autoSpaceDN w:val="0"/>
      <w:adjustRightInd w:val="0"/>
      <w:spacing w:after="240" w:line="270"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821151">
      <w:bodyDiv w:val="1"/>
      <w:marLeft w:val="0"/>
      <w:marRight w:val="0"/>
      <w:marTop w:val="0"/>
      <w:marBottom w:val="0"/>
      <w:divBdr>
        <w:top w:val="none" w:sz="0" w:space="0" w:color="auto"/>
        <w:left w:val="none" w:sz="0" w:space="0" w:color="auto"/>
        <w:bottom w:val="none" w:sz="0" w:space="0" w:color="auto"/>
        <w:right w:val="none" w:sz="0" w:space="0" w:color="auto"/>
      </w:divBdr>
      <w:divsChild>
        <w:div w:id="1563250351">
          <w:marLeft w:val="0"/>
          <w:marRight w:val="0"/>
          <w:marTop w:val="0"/>
          <w:marBottom w:val="0"/>
          <w:divBdr>
            <w:top w:val="none" w:sz="0" w:space="0" w:color="auto"/>
            <w:left w:val="none" w:sz="0" w:space="0" w:color="auto"/>
            <w:bottom w:val="none" w:sz="0" w:space="0" w:color="auto"/>
            <w:right w:val="none" w:sz="0" w:space="0" w:color="auto"/>
          </w:divBdr>
          <w:divsChild>
            <w:div w:id="561991311">
              <w:marLeft w:val="0"/>
              <w:marRight w:val="0"/>
              <w:marTop w:val="0"/>
              <w:marBottom w:val="0"/>
              <w:divBdr>
                <w:top w:val="none" w:sz="0" w:space="0" w:color="auto"/>
                <w:left w:val="none" w:sz="0" w:space="0" w:color="auto"/>
                <w:bottom w:val="none" w:sz="0" w:space="0" w:color="auto"/>
                <w:right w:val="none" w:sz="0" w:space="0" w:color="auto"/>
              </w:divBdr>
              <w:divsChild>
                <w:div w:id="456411525">
                  <w:marLeft w:val="0"/>
                  <w:marRight w:val="0"/>
                  <w:marTop w:val="0"/>
                  <w:marBottom w:val="0"/>
                  <w:divBdr>
                    <w:top w:val="none" w:sz="0" w:space="0" w:color="auto"/>
                    <w:left w:val="none" w:sz="0" w:space="0" w:color="auto"/>
                    <w:bottom w:val="none" w:sz="0" w:space="0" w:color="auto"/>
                    <w:right w:val="none" w:sz="0" w:space="0" w:color="auto"/>
                  </w:divBdr>
                  <w:divsChild>
                    <w:div w:id="1558931384">
                      <w:marLeft w:val="0"/>
                      <w:marRight w:val="0"/>
                      <w:marTop w:val="0"/>
                      <w:marBottom w:val="0"/>
                      <w:divBdr>
                        <w:top w:val="none" w:sz="0" w:space="0" w:color="auto"/>
                        <w:left w:val="none" w:sz="0" w:space="0" w:color="auto"/>
                        <w:bottom w:val="none" w:sz="0" w:space="0" w:color="auto"/>
                        <w:right w:val="none" w:sz="0" w:space="0" w:color="auto"/>
                      </w:divBdr>
                      <w:divsChild>
                        <w:div w:id="590309429">
                          <w:marLeft w:val="0"/>
                          <w:marRight w:val="0"/>
                          <w:marTop w:val="0"/>
                          <w:marBottom w:val="600"/>
                          <w:divBdr>
                            <w:top w:val="none" w:sz="0" w:space="0" w:color="auto"/>
                            <w:left w:val="none" w:sz="0" w:space="0" w:color="auto"/>
                            <w:bottom w:val="none" w:sz="0" w:space="0" w:color="auto"/>
                            <w:right w:val="none" w:sz="0" w:space="0" w:color="auto"/>
                          </w:divBdr>
                          <w:divsChild>
                            <w:div w:id="2080276426">
                              <w:marLeft w:val="0"/>
                              <w:marRight w:val="0"/>
                              <w:marTop w:val="0"/>
                              <w:marBottom w:val="0"/>
                              <w:divBdr>
                                <w:top w:val="none" w:sz="0" w:space="0" w:color="auto"/>
                                <w:left w:val="none" w:sz="0" w:space="0" w:color="auto"/>
                                <w:bottom w:val="none" w:sz="0" w:space="0" w:color="auto"/>
                                <w:right w:val="none" w:sz="0" w:space="0" w:color="auto"/>
                              </w:divBdr>
                              <w:divsChild>
                                <w:div w:id="1016887263">
                                  <w:marLeft w:val="0"/>
                                  <w:marRight w:val="0"/>
                                  <w:marTop w:val="0"/>
                                  <w:marBottom w:val="0"/>
                                  <w:divBdr>
                                    <w:top w:val="none" w:sz="0" w:space="0" w:color="auto"/>
                                    <w:left w:val="none" w:sz="0" w:space="0" w:color="auto"/>
                                    <w:bottom w:val="none" w:sz="0" w:space="0" w:color="auto"/>
                                    <w:right w:val="none" w:sz="0" w:space="0" w:color="auto"/>
                                  </w:divBdr>
                                  <w:divsChild>
                                    <w:div w:id="222982764">
                                      <w:marLeft w:val="0"/>
                                      <w:marRight w:val="0"/>
                                      <w:marTop w:val="0"/>
                                      <w:marBottom w:val="0"/>
                                      <w:divBdr>
                                        <w:top w:val="none" w:sz="0" w:space="0" w:color="auto"/>
                                        <w:left w:val="none" w:sz="0" w:space="0" w:color="auto"/>
                                        <w:bottom w:val="none" w:sz="0" w:space="0" w:color="auto"/>
                                        <w:right w:val="none" w:sz="0" w:space="0" w:color="auto"/>
                                      </w:divBdr>
                                      <w:divsChild>
                                        <w:div w:id="1206023663">
                                          <w:marLeft w:val="0"/>
                                          <w:marRight w:val="0"/>
                                          <w:marTop w:val="0"/>
                                          <w:marBottom w:val="0"/>
                                          <w:divBdr>
                                            <w:top w:val="none" w:sz="0" w:space="0" w:color="auto"/>
                                            <w:left w:val="none" w:sz="0" w:space="0" w:color="auto"/>
                                            <w:bottom w:val="none" w:sz="0" w:space="0" w:color="auto"/>
                                            <w:right w:val="none" w:sz="0" w:space="0" w:color="auto"/>
                                          </w:divBdr>
                                          <w:divsChild>
                                            <w:div w:id="987368958">
                                              <w:marLeft w:val="0"/>
                                              <w:marRight w:val="0"/>
                                              <w:marTop w:val="0"/>
                                              <w:marBottom w:val="0"/>
                                              <w:divBdr>
                                                <w:top w:val="none" w:sz="0" w:space="0" w:color="auto"/>
                                                <w:left w:val="none" w:sz="0" w:space="0" w:color="auto"/>
                                                <w:bottom w:val="none" w:sz="0" w:space="0" w:color="auto"/>
                                                <w:right w:val="none" w:sz="0" w:space="0" w:color="auto"/>
                                              </w:divBdr>
                                              <w:divsChild>
                                                <w:div w:id="2068456001">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 w:id="1255243633">
                                  <w:marLeft w:val="0"/>
                                  <w:marRight w:val="0"/>
                                  <w:marTop w:val="0"/>
                                  <w:marBottom w:val="0"/>
                                  <w:divBdr>
                                    <w:top w:val="none" w:sz="0" w:space="0" w:color="auto"/>
                                    <w:left w:val="none" w:sz="0" w:space="0" w:color="auto"/>
                                    <w:bottom w:val="none" w:sz="0" w:space="0" w:color="auto"/>
                                    <w:right w:val="none" w:sz="0" w:space="0" w:color="auto"/>
                                  </w:divBdr>
                                  <w:divsChild>
                                    <w:div w:id="1818642445">
                                      <w:marLeft w:val="0"/>
                                      <w:marRight w:val="0"/>
                                      <w:marTop w:val="0"/>
                                      <w:marBottom w:val="0"/>
                                      <w:divBdr>
                                        <w:top w:val="none" w:sz="0" w:space="0" w:color="auto"/>
                                        <w:left w:val="none" w:sz="0" w:space="0" w:color="auto"/>
                                        <w:bottom w:val="none" w:sz="0" w:space="0" w:color="auto"/>
                                        <w:right w:val="none" w:sz="0" w:space="0" w:color="auto"/>
                                      </w:divBdr>
                                      <w:divsChild>
                                        <w:div w:id="2034065057">
                                          <w:marLeft w:val="0"/>
                                          <w:marRight w:val="0"/>
                                          <w:marTop w:val="0"/>
                                          <w:marBottom w:val="0"/>
                                          <w:divBdr>
                                            <w:top w:val="none" w:sz="0" w:space="0" w:color="auto"/>
                                            <w:left w:val="none" w:sz="0" w:space="0" w:color="auto"/>
                                            <w:bottom w:val="none" w:sz="0" w:space="0" w:color="auto"/>
                                            <w:right w:val="none" w:sz="0" w:space="0" w:color="auto"/>
                                          </w:divBdr>
                                          <w:divsChild>
                                            <w:div w:id="492141536">
                                              <w:marLeft w:val="0"/>
                                              <w:marRight w:val="0"/>
                                              <w:marTop w:val="0"/>
                                              <w:marBottom w:val="0"/>
                                              <w:divBdr>
                                                <w:top w:val="none" w:sz="0" w:space="0" w:color="auto"/>
                                                <w:left w:val="none" w:sz="0" w:space="0" w:color="auto"/>
                                                <w:bottom w:val="none" w:sz="0" w:space="0" w:color="auto"/>
                                                <w:right w:val="none" w:sz="0" w:space="0" w:color="auto"/>
                                              </w:divBdr>
                                              <w:divsChild>
                                                <w:div w:id="1558471050">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 w:id="1056928515">
                                  <w:marLeft w:val="0"/>
                                  <w:marRight w:val="0"/>
                                  <w:marTop w:val="0"/>
                                  <w:marBottom w:val="0"/>
                                  <w:divBdr>
                                    <w:top w:val="none" w:sz="0" w:space="0" w:color="auto"/>
                                    <w:left w:val="none" w:sz="0" w:space="0" w:color="auto"/>
                                    <w:bottom w:val="none" w:sz="0" w:space="0" w:color="auto"/>
                                    <w:right w:val="none" w:sz="0" w:space="0" w:color="auto"/>
                                  </w:divBdr>
                                  <w:divsChild>
                                    <w:div w:id="1988629770">
                                      <w:marLeft w:val="0"/>
                                      <w:marRight w:val="0"/>
                                      <w:marTop w:val="0"/>
                                      <w:marBottom w:val="0"/>
                                      <w:divBdr>
                                        <w:top w:val="none" w:sz="0" w:space="0" w:color="auto"/>
                                        <w:left w:val="none" w:sz="0" w:space="0" w:color="auto"/>
                                        <w:bottom w:val="none" w:sz="0" w:space="0" w:color="auto"/>
                                        <w:right w:val="none" w:sz="0" w:space="0" w:color="auto"/>
                                      </w:divBdr>
                                      <w:divsChild>
                                        <w:div w:id="92870968">
                                          <w:marLeft w:val="0"/>
                                          <w:marRight w:val="0"/>
                                          <w:marTop w:val="0"/>
                                          <w:marBottom w:val="0"/>
                                          <w:divBdr>
                                            <w:top w:val="none" w:sz="0" w:space="0" w:color="auto"/>
                                            <w:left w:val="none" w:sz="0" w:space="0" w:color="auto"/>
                                            <w:bottom w:val="none" w:sz="0" w:space="0" w:color="auto"/>
                                            <w:right w:val="none" w:sz="0" w:space="0" w:color="auto"/>
                                          </w:divBdr>
                                          <w:divsChild>
                                            <w:div w:id="1187670280">
                                              <w:marLeft w:val="0"/>
                                              <w:marRight w:val="0"/>
                                              <w:marTop w:val="0"/>
                                              <w:marBottom w:val="0"/>
                                              <w:divBdr>
                                                <w:top w:val="none" w:sz="0" w:space="0" w:color="auto"/>
                                                <w:left w:val="none" w:sz="0" w:space="0" w:color="auto"/>
                                                <w:bottom w:val="none" w:sz="0" w:space="0" w:color="auto"/>
                                                <w:right w:val="none" w:sz="0" w:space="0" w:color="auto"/>
                                              </w:divBdr>
                                              <w:divsChild>
                                                <w:div w:id="1397321674">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 w:id="1372077852">
                                  <w:marLeft w:val="0"/>
                                  <w:marRight w:val="0"/>
                                  <w:marTop w:val="0"/>
                                  <w:marBottom w:val="0"/>
                                  <w:divBdr>
                                    <w:top w:val="none" w:sz="0" w:space="0" w:color="auto"/>
                                    <w:left w:val="none" w:sz="0" w:space="0" w:color="auto"/>
                                    <w:bottom w:val="none" w:sz="0" w:space="0" w:color="auto"/>
                                    <w:right w:val="none" w:sz="0" w:space="0" w:color="auto"/>
                                  </w:divBdr>
                                  <w:divsChild>
                                    <w:div w:id="1073314910">
                                      <w:marLeft w:val="0"/>
                                      <w:marRight w:val="0"/>
                                      <w:marTop w:val="0"/>
                                      <w:marBottom w:val="0"/>
                                      <w:divBdr>
                                        <w:top w:val="none" w:sz="0" w:space="0" w:color="auto"/>
                                        <w:left w:val="none" w:sz="0" w:space="0" w:color="auto"/>
                                        <w:bottom w:val="none" w:sz="0" w:space="0" w:color="auto"/>
                                        <w:right w:val="none" w:sz="0" w:space="0" w:color="auto"/>
                                      </w:divBdr>
                                      <w:divsChild>
                                        <w:div w:id="1948654826">
                                          <w:marLeft w:val="0"/>
                                          <w:marRight w:val="0"/>
                                          <w:marTop w:val="0"/>
                                          <w:marBottom w:val="0"/>
                                          <w:divBdr>
                                            <w:top w:val="none" w:sz="0" w:space="0" w:color="auto"/>
                                            <w:left w:val="none" w:sz="0" w:space="0" w:color="auto"/>
                                            <w:bottom w:val="none" w:sz="0" w:space="0" w:color="auto"/>
                                            <w:right w:val="none" w:sz="0" w:space="0" w:color="auto"/>
                                          </w:divBdr>
                                          <w:divsChild>
                                            <w:div w:id="1115910372">
                                              <w:marLeft w:val="0"/>
                                              <w:marRight w:val="0"/>
                                              <w:marTop w:val="0"/>
                                              <w:marBottom w:val="0"/>
                                              <w:divBdr>
                                                <w:top w:val="none" w:sz="0" w:space="0" w:color="auto"/>
                                                <w:left w:val="none" w:sz="0" w:space="0" w:color="auto"/>
                                                <w:bottom w:val="none" w:sz="0" w:space="0" w:color="auto"/>
                                                <w:right w:val="none" w:sz="0" w:space="0" w:color="auto"/>
                                              </w:divBdr>
                                              <w:divsChild>
                                                <w:div w:id="1582520084">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 w:id="17514527">
                                  <w:marLeft w:val="0"/>
                                  <w:marRight w:val="0"/>
                                  <w:marTop w:val="0"/>
                                  <w:marBottom w:val="0"/>
                                  <w:divBdr>
                                    <w:top w:val="none" w:sz="0" w:space="0" w:color="auto"/>
                                    <w:left w:val="none" w:sz="0" w:space="0" w:color="auto"/>
                                    <w:bottom w:val="none" w:sz="0" w:space="0" w:color="auto"/>
                                    <w:right w:val="none" w:sz="0" w:space="0" w:color="auto"/>
                                  </w:divBdr>
                                  <w:divsChild>
                                    <w:div w:id="338318912">
                                      <w:marLeft w:val="0"/>
                                      <w:marRight w:val="0"/>
                                      <w:marTop w:val="0"/>
                                      <w:marBottom w:val="0"/>
                                      <w:divBdr>
                                        <w:top w:val="none" w:sz="0" w:space="0" w:color="auto"/>
                                        <w:left w:val="none" w:sz="0" w:space="0" w:color="auto"/>
                                        <w:bottom w:val="none" w:sz="0" w:space="0" w:color="auto"/>
                                        <w:right w:val="none" w:sz="0" w:space="0" w:color="auto"/>
                                      </w:divBdr>
                                      <w:divsChild>
                                        <w:div w:id="1207910458">
                                          <w:marLeft w:val="0"/>
                                          <w:marRight w:val="0"/>
                                          <w:marTop w:val="0"/>
                                          <w:marBottom w:val="0"/>
                                          <w:divBdr>
                                            <w:top w:val="none" w:sz="0" w:space="0" w:color="auto"/>
                                            <w:left w:val="none" w:sz="0" w:space="0" w:color="auto"/>
                                            <w:bottom w:val="none" w:sz="0" w:space="0" w:color="auto"/>
                                            <w:right w:val="none" w:sz="0" w:space="0" w:color="auto"/>
                                          </w:divBdr>
                                          <w:divsChild>
                                            <w:div w:id="1501583301">
                                              <w:marLeft w:val="0"/>
                                              <w:marRight w:val="0"/>
                                              <w:marTop w:val="0"/>
                                              <w:marBottom w:val="0"/>
                                              <w:divBdr>
                                                <w:top w:val="none" w:sz="0" w:space="0" w:color="auto"/>
                                                <w:left w:val="none" w:sz="0" w:space="0" w:color="auto"/>
                                                <w:bottom w:val="none" w:sz="0" w:space="0" w:color="auto"/>
                                                <w:right w:val="none" w:sz="0" w:space="0" w:color="auto"/>
                                              </w:divBdr>
                                              <w:divsChild>
                                                <w:div w:id="671493612">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 w:id="1497768701">
                                  <w:marLeft w:val="0"/>
                                  <w:marRight w:val="0"/>
                                  <w:marTop w:val="0"/>
                                  <w:marBottom w:val="0"/>
                                  <w:divBdr>
                                    <w:top w:val="none" w:sz="0" w:space="0" w:color="auto"/>
                                    <w:left w:val="none" w:sz="0" w:space="0" w:color="auto"/>
                                    <w:bottom w:val="none" w:sz="0" w:space="0" w:color="auto"/>
                                    <w:right w:val="none" w:sz="0" w:space="0" w:color="auto"/>
                                  </w:divBdr>
                                  <w:divsChild>
                                    <w:div w:id="1265727138">
                                      <w:marLeft w:val="0"/>
                                      <w:marRight w:val="0"/>
                                      <w:marTop w:val="0"/>
                                      <w:marBottom w:val="0"/>
                                      <w:divBdr>
                                        <w:top w:val="none" w:sz="0" w:space="0" w:color="auto"/>
                                        <w:left w:val="none" w:sz="0" w:space="0" w:color="auto"/>
                                        <w:bottom w:val="none" w:sz="0" w:space="0" w:color="auto"/>
                                        <w:right w:val="none" w:sz="0" w:space="0" w:color="auto"/>
                                      </w:divBdr>
                                      <w:divsChild>
                                        <w:div w:id="322900371">
                                          <w:marLeft w:val="0"/>
                                          <w:marRight w:val="0"/>
                                          <w:marTop w:val="0"/>
                                          <w:marBottom w:val="0"/>
                                          <w:divBdr>
                                            <w:top w:val="none" w:sz="0" w:space="0" w:color="auto"/>
                                            <w:left w:val="none" w:sz="0" w:space="0" w:color="auto"/>
                                            <w:bottom w:val="none" w:sz="0" w:space="0" w:color="auto"/>
                                            <w:right w:val="none" w:sz="0" w:space="0" w:color="auto"/>
                                          </w:divBdr>
                                          <w:divsChild>
                                            <w:div w:id="1346131000">
                                              <w:marLeft w:val="0"/>
                                              <w:marRight w:val="0"/>
                                              <w:marTop w:val="0"/>
                                              <w:marBottom w:val="0"/>
                                              <w:divBdr>
                                                <w:top w:val="none" w:sz="0" w:space="0" w:color="auto"/>
                                                <w:left w:val="none" w:sz="0" w:space="0" w:color="auto"/>
                                                <w:bottom w:val="none" w:sz="0" w:space="0" w:color="auto"/>
                                                <w:right w:val="none" w:sz="0" w:space="0" w:color="auto"/>
                                              </w:divBdr>
                                              <w:divsChild>
                                                <w:div w:id="2048989665">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 w:id="1221476792">
                                  <w:marLeft w:val="0"/>
                                  <w:marRight w:val="0"/>
                                  <w:marTop w:val="0"/>
                                  <w:marBottom w:val="0"/>
                                  <w:divBdr>
                                    <w:top w:val="none" w:sz="0" w:space="0" w:color="auto"/>
                                    <w:left w:val="none" w:sz="0" w:space="0" w:color="auto"/>
                                    <w:bottom w:val="none" w:sz="0" w:space="0" w:color="auto"/>
                                    <w:right w:val="none" w:sz="0" w:space="0" w:color="auto"/>
                                  </w:divBdr>
                                  <w:divsChild>
                                    <w:div w:id="1548683183">
                                      <w:marLeft w:val="0"/>
                                      <w:marRight w:val="0"/>
                                      <w:marTop w:val="0"/>
                                      <w:marBottom w:val="0"/>
                                      <w:divBdr>
                                        <w:top w:val="none" w:sz="0" w:space="0" w:color="auto"/>
                                        <w:left w:val="none" w:sz="0" w:space="0" w:color="auto"/>
                                        <w:bottom w:val="none" w:sz="0" w:space="0" w:color="auto"/>
                                        <w:right w:val="none" w:sz="0" w:space="0" w:color="auto"/>
                                      </w:divBdr>
                                      <w:divsChild>
                                        <w:div w:id="993797021">
                                          <w:marLeft w:val="0"/>
                                          <w:marRight w:val="0"/>
                                          <w:marTop w:val="0"/>
                                          <w:marBottom w:val="0"/>
                                          <w:divBdr>
                                            <w:top w:val="none" w:sz="0" w:space="0" w:color="auto"/>
                                            <w:left w:val="none" w:sz="0" w:space="0" w:color="auto"/>
                                            <w:bottom w:val="none" w:sz="0" w:space="0" w:color="auto"/>
                                            <w:right w:val="none" w:sz="0" w:space="0" w:color="auto"/>
                                          </w:divBdr>
                                          <w:divsChild>
                                            <w:div w:id="272178243">
                                              <w:marLeft w:val="0"/>
                                              <w:marRight w:val="0"/>
                                              <w:marTop w:val="0"/>
                                              <w:marBottom w:val="0"/>
                                              <w:divBdr>
                                                <w:top w:val="none" w:sz="0" w:space="0" w:color="auto"/>
                                                <w:left w:val="none" w:sz="0" w:space="0" w:color="auto"/>
                                                <w:bottom w:val="none" w:sz="0" w:space="0" w:color="auto"/>
                                                <w:right w:val="none" w:sz="0" w:space="0" w:color="auto"/>
                                              </w:divBdr>
                                              <w:divsChild>
                                                <w:div w:id="1667902791">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 w:id="1218513327">
                                  <w:marLeft w:val="0"/>
                                  <w:marRight w:val="0"/>
                                  <w:marTop w:val="0"/>
                                  <w:marBottom w:val="0"/>
                                  <w:divBdr>
                                    <w:top w:val="none" w:sz="0" w:space="0" w:color="auto"/>
                                    <w:left w:val="none" w:sz="0" w:space="0" w:color="auto"/>
                                    <w:bottom w:val="none" w:sz="0" w:space="0" w:color="auto"/>
                                    <w:right w:val="none" w:sz="0" w:space="0" w:color="auto"/>
                                  </w:divBdr>
                                  <w:divsChild>
                                    <w:div w:id="1458792367">
                                      <w:marLeft w:val="0"/>
                                      <w:marRight w:val="0"/>
                                      <w:marTop w:val="0"/>
                                      <w:marBottom w:val="0"/>
                                      <w:divBdr>
                                        <w:top w:val="none" w:sz="0" w:space="0" w:color="auto"/>
                                        <w:left w:val="none" w:sz="0" w:space="0" w:color="auto"/>
                                        <w:bottom w:val="none" w:sz="0" w:space="0" w:color="auto"/>
                                        <w:right w:val="none" w:sz="0" w:space="0" w:color="auto"/>
                                      </w:divBdr>
                                      <w:divsChild>
                                        <w:div w:id="964507177">
                                          <w:marLeft w:val="0"/>
                                          <w:marRight w:val="0"/>
                                          <w:marTop w:val="0"/>
                                          <w:marBottom w:val="0"/>
                                          <w:divBdr>
                                            <w:top w:val="none" w:sz="0" w:space="0" w:color="auto"/>
                                            <w:left w:val="none" w:sz="0" w:space="0" w:color="auto"/>
                                            <w:bottom w:val="none" w:sz="0" w:space="0" w:color="auto"/>
                                            <w:right w:val="none" w:sz="0" w:space="0" w:color="auto"/>
                                          </w:divBdr>
                                          <w:divsChild>
                                            <w:div w:id="1824350626">
                                              <w:marLeft w:val="0"/>
                                              <w:marRight w:val="0"/>
                                              <w:marTop w:val="0"/>
                                              <w:marBottom w:val="0"/>
                                              <w:divBdr>
                                                <w:top w:val="none" w:sz="0" w:space="0" w:color="auto"/>
                                                <w:left w:val="none" w:sz="0" w:space="0" w:color="auto"/>
                                                <w:bottom w:val="none" w:sz="0" w:space="0" w:color="auto"/>
                                                <w:right w:val="none" w:sz="0" w:space="0" w:color="auto"/>
                                              </w:divBdr>
                                              <w:divsChild>
                                                <w:div w:id="1140850797">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sChild>
                            </w:div>
                          </w:divsChild>
                        </w:div>
                      </w:divsChild>
                    </w:div>
                  </w:divsChild>
                </w:div>
              </w:divsChild>
            </w:div>
          </w:divsChild>
        </w:div>
      </w:divsChild>
    </w:div>
    <w:div w:id="828600657">
      <w:bodyDiv w:val="1"/>
      <w:marLeft w:val="0"/>
      <w:marRight w:val="0"/>
      <w:marTop w:val="0"/>
      <w:marBottom w:val="0"/>
      <w:divBdr>
        <w:top w:val="none" w:sz="0" w:space="0" w:color="auto"/>
        <w:left w:val="none" w:sz="0" w:space="0" w:color="auto"/>
        <w:bottom w:val="none" w:sz="0" w:space="0" w:color="auto"/>
        <w:right w:val="none" w:sz="0" w:space="0" w:color="auto"/>
      </w:divBdr>
    </w:div>
    <w:div w:id="976103187">
      <w:bodyDiv w:val="1"/>
      <w:marLeft w:val="0"/>
      <w:marRight w:val="0"/>
      <w:marTop w:val="0"/>
      <w:marBottom w:val="0"/>
      <w:divBdr>
        <w:top w:val="none" w:sz="0" w:space="0" w:color="auto"/>
        <w:left w:val="none" w:sz="0" w:space="0" w:color="auto"/>
        <w:bottom w:val="none" w:sz="0" w:space="0" w:color="auto"/>
        <w:right w:val="none" w:sz="0" w:space="0" w:color="auto"/>
      </w:divBdr>
      <w:divsChild>
        <w:div w:id="1122379063">
          <w:marLeft w:val="0"/>
          <w:marRight w:val="0"/>
          <w:marTop w:val="0"/>
          <w:marBottom w:val="0"/>
          <w:divBdr>
            <w:top w:val="none" w:sz="0" w:space="0" w:color="auto"/>
            <w:left w:val="none" w:sz="0" w:space="0" w:color="auto"/>
            <w:bottom w:val="none" w:sz="0" w:space="0" w:color="auto"/>
            <w:right w:val="none" w:sz="0" w:space="0" w:color="auto"/>
          </w:divBdr>
          <w:divsChild>
            <w:div w:id="254676784">
              <w:marLeft w:val="0"/>
              <w:marRight w:val="0"/>
              <w:marTop w:val="0"/>
              <w:marBottom w:val="0"/>
              <w:divBdr>
                <w:top w:val="none" w:sz="0" w:space="0" w:color="auto"/>
                <w:left w:val="none" w:sz="0" w:space="0" w:color="auto"/>
                <w:bottom w:val="none" w:sz="0" w:space="0" w:color="auto"/>
                <w:right w:val="none" w:sz="0" w:space="0" w:color="auto"/>
              </w:divBdr>
              <w:divsChild>
                <w:div w:id="1206407017">
                  <w:marLeft w:val="0"/>
                  <w:marRight w:val="0"/>
                  <w:marTop w:val="0"/>
                  <w:marBottom w:val="0"/>
                  <w:divBdr>
                    <w:top w:val="none" w:sz="0" w:space="0" w:color="auto"/>
                    <w:left w:val="none" w:sz="0" w:space="0" w:color="auto"/>
                    <w:bottom w:val="none" w:sz="0" w:space="0" w:color="auto"/>
                    <w:right w:val="none" w:sz="0" w:space="0" w:color="auto"/>
                  </w:divBdr>
                  <w:divsChild>
                    <w:div w:id="331184295">
                      <w:marLeft w:val="0"/>
                      <w:marRight w:val="0"/>
                      <w:marTop w:val="0"/>
                      <w:marBottom w:val="0"/>
                      <w:divBdr>
                        <w:top w:val="none" w:sz="0" w:space="0" w:color="auto"/>
                        <w:left w:val="none" w:sz="0" w:space="0" w:color="auto"/>
                        <w:bottom w:val="none" w:sz="0" w:space="0" w:color="auto"/>
                        <w:right w:val="none" w:sz="0" w:space="0" w:color="auto"/>
                      </w:divBdr>
                      <w:divsChild>
                        <w:div w:id="215246222">
                          <w:marLeft w:val="0"/>
                          <w:marRight w:val="0"/>
                          <w:marTop w:val="0"/>
                          <w:marBottom w:val="600"/>
                          <w:divBdr>
                            <w:top w:val="none" w:sz="0" w:space="0" w:color="auto"/>
                            <w:left w:val="none" w:sz="0" w:space="0" w:color="auto"/>
                            <w:bottom w:val="none" w:sz="0" w:space="0" w:color="auto"/>
                            <w:right w:val="none" w:sz="0" w:space="0" w:color="auto"/>
                          </w:divBdr>
                          <w:divsChild>
                            <w:div w:id="791944651">
                              <w:marLeft w:val="0"/>
                              <w:marRight w:val="0"/>
                              <w:marTop w:val="0"/>
                              <w:marBottom w:val="0"/>
                              <w:divBdr>
                                <w:top w:val="none" w:sz="0" w:space="0" w:color="auto"/>
                                <w:left w:val="none" w:sz="0" w:space="0" w:color="auto"/>
                                <w:bottom w:val="none" w:sz="0" w:space="0" w:color="auto"/>
                                <w:right w:val="none" w:sz="0" w:space="0" w:color="auto"/>
                              </w:divBdr>
                              <w:divsChild>
                                <w:div w:id="1394699561">
                                  <w:marLeft w:val="0"/>
                                  <w:marRight w:val="0"/>
                                  <w:marTop w:val="0"/>
                                  <w:marBottom w:val="0"/>
                                  <w:divBdr>
                                    <w:top w:val="none" w:sz="0" w:space="0" w:color="auto"/>
                                    <w:left w:val="none" w:sz="0" w:space="0" w:color="auto"/>
                                    <w:bottom w:val="none" w:sz="0" w:space="0" w:color="auto"/>
                                    <w:right w:val="none" w:sz="0" w:space="0" w:color="auto"/>
                                  </w:divBdr>
                                </w:div>
                                <w:div w:id="604073748">
                                  <w:marLeft w:val="0"/>
                                  <w:marRight w:val="0"/>
                                  <w:marTop w:val="0"/>
                                  <w:marBottom w:val="0"/>
                                  <w:divBdr>
                                    <w:top w:val="none" w:sz="0" w:space="0" w:color="auto"/>
                                    <w:left w:val="none" w:sz="0" w:space="0" w:color="auto"/>
                                    <w:bottom w:val="none" w:sz="0" w:space="0" w:color="auto"/>
                                    <w:right w:val="none" w:sz="0" w:space="0" w:color="auto"/>
                                  </w:divBdr>
                                  <w:divsChild>
                                    <w:div w:id="1929999489">
                                      <w:marLeft w:val="0"/>
                                      <w:marRight w:val="0"/>
                                      <w:marTop w:val="0"/>
                                      <w:marBottom w:val="0"/>
                                      <w:divBdr>
                                        <w:top w:val="none" w:sz="0" w:space="0" w:color="auto"/>
                                        <w:left w:val="none" w:sz="0" w:space="0" w:color="auto"/>
                                        <w:bottom w:val="none" w:sz="0" w:space="0" w:color="auto"/>
                                        <w:right w:val="none" w:sz="0" w:space="0" w:color="auto"/>
                                      </w:divBdr>
                                      <w:divsChild>
                                        <w:div w:id="142938730">
                                          <w:marLeft w:val="0"/>
                                          <w:marRight w:val="0"/>
                                          <w:marTop w:val="0"/>
                                          <w:marBottom w:val="0"/>
                                          <w:divBdr>
                                            <w:top w:val="none" w:sz="0" w:space="0" w:color="auto"/>
                                            <w:left w:val="none" w:sz="0" w:space="0" w:color="auto"/>
                                            <w:bottom w:val="none" w:sz="0" w:space="0" w:color="auto"/>
                                            <w:right w:val="none" w:sz="0" w:space="0" w:color="auto"/>
                                          </w:divBdr>
                                          <w:divsChild>
                                            <w:div w:id="1683162980">
                                              <w:marLeft w:val="0"/>
                                              <w:marRight w:val="0"/>
                                              <w:marTop w:val="0"/>
                                              <w:marBottom w:val="0"/>
                                              <w:divBdr>
                                                <w:top w:val="none" w:sz="0" w:space="0" w:color="auto"/>
                                                <w:left w:val="none" w:sz="0" w:space="0" w:color="auto"/>
                                                <w:bottom w:val="none" w:sz="0" w:space="0" w:color="auto"/>
                                                <w:right w:val="none" w:sz="0" w:space="0" w:color="auto"/>
                                              </w:divBdr>
                                              <w:divsChild>
                                                <w:div w:id="1936133534">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 w:id="589512343">
                                  <w:marLeft w:val="0"/>
                                  <w:marRight w:val="0"/>
                                  <w:marTop w:val="0"/>
                                  <w:marBottom w:val="0"/>
                                  <w:divBdr>
                                    <w:top w:val="none" w:sz="0" w:space="0" w:color="auto"/>
                                    <w:left w:val="none" w:sz="0" w:space="0" w:color="auto"/>
                                    <w:bottom w:val="none" w:sz="0" w:space="0" w:color="auto"/>
                                    <w:right w:val="none" w:sz="0" w:space="0" w:color="auto"/>
                                  </w:divBdr>
                                  <w:divsChild>
                                    <w:div w:id="125509905">
                                      <w:marLeft w:val="0"/>
                                      <w:marRight w:val="0"/>
                                      <w:marTop w:val="0"/>
                                      <w:marBottom w:val="0"/>
                                      <w:divBdr>
                                        <w:top w:val="none" w:sz="0" w:space="0" w:color="auto"/>
                                        <w:left w:val="none" w:sz="0" w:space="0" w:color="auto"/>
                                        <w:bottom w:val="none" w:sz="0" w:space="0" w:color="auto"/>
                                        <w:right w:val="none" w:sz="0" w:space="0" w:color="auto"/>
                                      </w:divBdr>
                                      <w:divsChild>
                                        <w:div w:id="1322810954">
                                          <w:marLeft w:val="0"/>
                                          <w:marRight w:val="0"/>
                                          <w:marTop w:val="0"/>
                                          <w:marBottom w:val="0"/>
                                          <w:divBdr>
                                            <w:top w:val="none" w:sz="0" w:space="0" w:color="auto"/>
                                            <w:left w:val="none" w:sz="0" w:space="0" w:color="auto"/>
                                            <w:bottom w:val="none" w:sz="0" w:space="0" w:color="auto"/>
                                            <w:right w:val="none" w:sz="0" w:space="0" w:color="auto"/>
                                          </w:divBdr>
                                          <w:divsChild>
                                            <w:div w:id="283119786">
                                              <w:marLeft w:val="0"/>
                                              <w:marRight w:val="0"/>
                                              <w:marTop w:val="0"/>
                                              <w:marBottom w:val="0"/>
                                              <w:divBdr>
                                                <w:top w:val="none" w:sz="0" w:space="0" w:color="auto"/>
                                                <w:left w:val="none" w:sz="0" w:space="0" w:color="auto"/>
                                                <w:bottom w:val="none" w:sz="0" w:space="0" w:color="auto"/>
                                                <w:right w:val="none" w:sz="0" w:space="0" w:color="auto"/>
                                              </w:divBdr>
                                              <w:divsChild>
                                                <w:div w:id="62222621">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 w:id="1319266559">
                                  <w:marLeft w:val="0"/>
                                  <w:marRight w:val="0"/>
                                  <w:marTop w:val="0"/>
                                  <w:marBottom w:val="0"/>
                                  <w:divBdr>
                                    <w:top w:val="none" w:sz="0" w:space="0" w:color="auto"/>
                                    <w:left w:val="none" w:sz="0" w:space="0" w:color="auto"/>
                                    <w:bottom w:val="none" w:sz="0" w:space="0" w:color="auto"/>
                                    <w:right w:val="none" w:sz="0" w:space="0" w:color="auto"/>
                                  </w:divBdr>
                                  <w:divsChild>
                                    <w:div w:id="2126656684">
                                      <w:marLeft w:val="0"/>
                                      <w:marRight w:val="0"/>
                                      <w:marTop w:val="0"/>
                                      <w:marBottom w:val="0"/>
                                      <w:divBdr>
                                        <w:top w:val="none" w:sz="0" w:space="0" w:color="auto"/>
                                        <w:left w:val="none" w:sz="0" w:space="0" w:color="auto"/>
                                        <w:bottom w:val="none" w:sz="0" w:space="0" w:color="auto"/>
                                        <w:right w:val="none" w:sz="0" w:space="0" w:color="auto"/>
                                      </w:divBdr>
                                      <w:divsChild>
                                        <w:div w:id="2116056292">
                                          <w:marLeft w:val="0"/>
                                          <w:marRight w:val="0"/>
                                          <w:marTop w:val="0"/>
                                          <w:marBottom w:val="0"/>
                                          <w:divBdr>
                                            <w:top w:val="none" w:sz="0" w:space="0" w:color="auto"/>
                                            <w:left w:val="none" w:sz="0" w:space="0" w:color="auto"/>
                                            <w:bottom w:val="none" w:sz="0" w:space="0" w:color="auto"/>
                                            <w:right w:val="none" w:sz="0" w:space="0" w:color="auto"/>
                                          </w:divBdr>
                                          <w:divsChild>
                                            <w:div w:id="1349911399">
                                              <w:marLeft w:val="0"/>
                                              <w:marRight w:val="0"/>
                                              <w:marTop w:val="0"/>
                                              <w:marBottom w:val="0"/>
                                              <w:divBdr>
                                                <w:top w:val="none" w:sz="0" w:space="0" w:color="auto"/>
                                                <w:left w:val="none" w:sz="0" w:space="0" w:color="auto"/>
                                                <w:bottom w:val="none" w:sz="0" w:space="0" w:color="auto"/>
                                                <w:right w:val="none" w:sz="0" w:space="0" w:color="auto"/>
                                              </w:divBdr>
                                              <w:divsChild>
                                                <w:div w:id="1253004790">
                                                  <w:marLeft w:val="0"/>
                                                  <w:marRight w:val="0"/>
                                                  <w:marTop w:val="0"/>
                                                  <w:marBottom w:val="0"/>
                                                  <w:divBdr>
                                                    <w:top w:val="none" w:sz="0" w:space="0" w:color="auto"/>
                                                    <w:left w:val="none" w:sz="0" w:space="0" w:color="auto"/>
                                                    <w:bottom w:val="none" w:sz="0" w:space="0" w:color="auto"/>
                                                    <w:right w:val="single" w:sz="18" w:space="28" w:color="71AE6E"/>
                                                  </w:divBdr>
                                                </w:div>
                                              </w:divsChild>
                                            </w:div>
                                          </w:divsChild>
                                        </w:div>
                                      </w:divsChild>
                                    </w:div>
                                  </w:divsChild>
                                </w:div>
                              </w:divsChild>
                            </w:div>
                          </w:divsChild>
                        </w:div>
                      </w:divsChild>
                    </w:div>
                  </w:divsChild>
                </w:div>
              </w:divsChild>
            </w:div>
          </w:divsChild>
        </w:div>
      </w:divsChild>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576490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208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קיירה</FullName>
        <FirstName>משה</FirstName>
        <LastName>קיירה</LastName>
        <PartyPropertyName/>
        <AuthenticationTypeAndNumber>מ.ר. 34799</AuthenticationTypeAndNumber>
        <RepresentatedOrRepresentativesNames xml:space="preserve"> </RepresentatedOrRepresentativesNames>
        <RepresentatedOrRepresentativesCount>1</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230609446</CasePartyID>
        <PartyTypeID>2</PartyTypeID>
        <ActivityStatusID>1</ActivityStatusID>
        <PartyAliasID>21</PartyAliasID>
        <PartyAliasName>בא כוח נתבעים</PartyAliasName>
        <LegalEntityID>409135</LegalEntityID>
        <CaseLegalEntityID>116601438</CaseLegalEntityID>
        <AuthenticationTypeID>4</AuthenticationTypeID>
        <AuthenticationTypeName>מ.ר.</AuthenticationTypeName>
        <LegalEntityNumber>34799</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מצדה 7 קומה 28 בני ברק </FullAddress>
        <EmailAddress>office@kaya-law.com</EmailAddress>
        <MotionID>0</MotionID>
        <CasePleaID>0</CasePleaID>
        <FatherName xml:space="preserve">        </FatherName>
        <LinkedCaseID>0</LinkedCaseID>
        <PartyID>2</PartyID>
        <CasePartyCategoryID>2</CasePartyCategoryID>
        <LegalEntityAddressID>85989899</LegalEntityAddressID>
        <LegalEntityEmailAddressID>68157267</LegalEntityEmailAddressID>
        <PleaTypeID>4</PleaTypeID>
        <LawyerOfficeName>משרד עו"ד: קיירה-יהלומי</LawyerOfficeName>
        <LawyerOfficeID>449779</LawyerOfficeID>
        <GroupPartyAlias/>
        <IsConverted>false</IsConverted>
        <LegalEntityNameID>30119</LegalEntityNameID>
        <RepresentatedNamesOfAssistant/>
        <LegalEntityTypeID>4</LegalEntityTypeID>
        <IsVerdictExists>false</IsVerdictExists>
        <IsAsirAzir>false</IsAsirAzir>
        <IsPublicationProhibited>false</IsPublicationProhibited>
        <PublicationProhibitedFullName>משה קיירה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יהודה פלק</FullName>
        <FirstName>יהודה</FirstName>
        <LastName>פלק</LastName>
        <PartyPropertyName/>
        <AuthenticationTypeAndNumber>מ.ר. 5573</AuthenticationTypeAndNumber>
        <RepresentatedOrRepresentativesNames>בנימין שריג</RepresentatedOrRepresentativesNames>
        <RepresentatedOrRepresentativesCount>1</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223269385</CasePartyID>
        <PartyTypeID>2</PartyTypeID>
        <ActivityStatusID>1</ActivityStatusID>
        <PartyAliasID>20</PartyAliasID>
        <PartyAliasName>בא כוח תובעים</PartyAliasName>
        <OrdinalNumber>1</OrdinalNumber>
        <LegalEntityID>387027</LegalEntityID>
        <CaseLegalEntityID>114372929</CaseLegalEntityID>
        <AuthenticationTypeID>4</AuthenticationTypeID>
        <AuthenticationTypeName>מ.ר.</AuthenticationTypeName>
        <LegalEntityNumber>5573</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העצמאות 118 חיפה </FullAddress>
        <MotionID>0</MotionID>
        <CasePleaID>0</CasePleaID>
        <FatherName xml:space="preserve">        </FatherName>
        <LinkedCaseID>0</LinkedCaseID>
        <PartyID>1</PartyID>
        <CasePartyCategoryID>2</CasePartyCategoryID>
        <LegalEntityAddressID>70844749</LegalEntityAddressID>
        <PleaTypeID>4</PleaTypeID>
        <LawyerOfficeName>משרד עו"ד: יהודה פלק</LawyerOfficeName>
        <LawyerOfficeID>427671</LawyerOfficeID>
        <GroupPartyAlias/>
        <IsConverted>false</IsConverted>
        <LegalEntityNameID>8011</LegalEntityNameID>
        <RepresentatedNamesOfAssistant/>
        <LegalEntityTypeID>4</LegalEntityTypeID>
        <IsVerdictExists>false</IsVerdictExists>
        <IsAsirAzir>false</IsAsirAzir>
        <IsPublicationProhibited>false</IsPublicationProhibited>
        <PublicationProhibitedFullName>יהודה פלק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בנימין שריג</FullName>
        <FirstName>בנימין</FirstName>
        <LastName>שריג</LastName>
        <PartyPropertyName/>
        <AuthenticationTypeAndNumber>ת"ז 050097153</AuthenticationTypeAndNumber>
        <RepresentatedOrRepresentativesNames>יהודה פלק</RepresentatedOrRepresentativesNames>
        <RepresentatedOrRepresentativesCount>1</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223269384</CasePartyID>
        <PartyTypeID>1</PartyTypeID>
        <ActivityStatusID>1</ActivityStatusID>
        <PartyAliasID>1</PartyAliasID>
        <PartyAliasName>תובע</PartyAliasName>
        <OrdinalNumber>1</OrdinalNumber>
        <LegalEntityID>12741557</LegalEntityID>
        <CaseLegalEntityID>114372928</CaseLegalEntityID>
        <AuthenticationTypeID>1</AuthenticationTypeID>
        <AuthenticationTypeName>ת"ז</AuthenticationTypeName>
        <LegalEntityNumber>050097153</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הדגניות 24 קריית טבעון </FullAddress>
        <MotionID>0</MotionID>
        <CasePleaID>0</CasePleaID>
        <BirthDate>1950-07-08T00:00:00+03:00</BirthDate>
        <FatherName>חיים    </FatherName>
        <LinkedCaseID>0</LinkedCaseID>
        <PartyID>1</PartyID>
        <CasePartyCategoryID>2</CasePartyCategoryID>
        <LegalEntityAddressID>84908121</LegalEntityAddressID>
        <DrivingLicenseNumber>803588</DrivingLicenseNumber>
        <PleaTypeID>4</PleaTypeID>
        <GroupPartyAlias>תובעים</GroupPartyAlias>
        <IsConverted>false</IsConverted>
        <LegalEntityRegisteredNameID>487651</LegalEntityRegisteredNameID>
        <LegalEntityNameID>91003718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בנימין שריג</PublicationProhibitedFullName>
      </CaseParties>
      <CaseParties>
        <PartyTypeName>בא כוח</PartyTypeName>
        <ProceedingType>כתב טענות עיקרי</ProceedingType>
        <PleaName>כתב תביעה</PleaName>
        <PartyBelonging> - </PartyBelonging>
        <IsSubProceeding>FALSE</IsSubProceeding>
        <FullName>שלומית ישורון סוניס</FullName>
        <FirstName>שלומית</FirstName>
        <LastName>ישורון סוניס</LastName>
        <PartyPropertyName/>
        <AuthenticationTypeAndNumber>מ.ר. 28461</AuthenticationTypeAndNumber>
        <RepresentatedOrRepresentativesNames/>
        <RepresentatedOrRepresentativesCount>0</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224937066</CasePartyID>
        <PartyTypeID>2</PartyTypeID>
        <ActivityStatusID>1</ActivityStatusID>
        <OrdinalNumber>1</OrdinalNumber>
        <LegalEntityID>391301</LegalEntityID>
        <CaseLegalEntityID>114853232</CaseLegalEntityID>
        <AuthenticationTypeID>4</AuthenticationTypeID>
        <AuthenticationTypeName>מ.ר.</AuthenticationTypeName>
        <LegalEntityNumber>28461</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
        <MotionID>0</MotionID>
        <CasePleaID>0</CasePleaID>
        <LinkedCaseID>0</LinkedCaseID>
        <PartyID>2</PartyID>
        <CasePartyCategoryID>2</CasePartyCategoryID>
        <PleaTypeID>4</PleaTypeID>
        <LawyerOfficeName>שלומית ישורון סוניס</LawyerOfficeName>
        <LawyerOfficeID>12719528</LawyerOfficeID>
        <GroupPartyAlias/>
        <IsConverted>false</IsConverted>
        <LegalEntityNameID>12285</LegalEntityNameID>
        <RepresentatedNamesOfAssistant/>
        <LegalEntityTypeID>4</LegalEntityTypeID>
        <IsVerdictExists>false</IsVerdictExists>
        <IsAsirAzir>false</IsAsirAzir>
        <IsPublicationProhibited>false</IsPublicationProhibited>
        <PublicationProhibitedFullName>שלומית ישורון סוניס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בנק דיסקונט לישראל בעמ</FullName>
        <LastName>בנק דיסקונט לישראל בעמ</LastName>
        <PartyPropertyName/>
        <AuthenticationTypeAndNumber>חברות 520007030</AuthenticationTypeAndNumber>
        <RepresentatedOrRepresentativesNames>משה קיירה</RepresentatedOrRepresentativesNames>
        <RepresentatedOrRepresentativesCount>1</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223269386</CasePartyID>
        <PartyTypeID>1</PartyTypeID>
        <ActivityStatusID>1</ActivityStatusID>
        <PartyAliasID>2</PartyAliasID>
        <PartyAliasName>נתבע</PartyAliasName>
        <OrdinalNumber>1</OrdinalNumber>
        <LegalEntityID>71656949</LegalEntityID>
        <CaseLegalEntityID>114372930</CaseLegalEntityID>
        <AuthenticationTypeID>3</AuthenticationTypeID>
        <AuthenticationTypeName>חברות</AuthenticationTypeName>
        <LegalEntityNumber>520007030</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שד' הנשיא 124 חיפה </FullAddress>
        <MotionID>0</MotionID>
        <CasePleaID>0</CasePleaID>
        <LinkedCaseID>0</LinkedCaseID>
        <PartyID>2</PartyID>
        <CasePartyCategoryID>2</CasePartyCategoryID>
        <LegalEntityAddressID>84908120</LegalEntityAddressID>
        <PleaTypeID>4</PleaTypeID>
        <GroupPartyAlias>נתבעים</GroupPartyAlias>
        <IsConverted>false</IsConverted>
        <LegalEntityRegisteredNameID>3365090</LegalEntityRegisteredNameID>
        <RepresentatedNamesOfAssistant/>
        <LegalEntityTypeID>3</LegalEntityTypeID>
        <IsVerdictExists>false</IsVerdictExists>
        <IsAsirAzir>false</IsAsirAzir>
        <IsPublicationProhibited>false</IsPublicationProhibited>
        <PublicationProhibitedFullName>בנק דיסקונט לישראל בעמ</PublicationProhibitedFullName>
      </CaseParties>
    </CasePartiesSelectionDS>
    <DecisionName>פסק דין  שניתנה ע"י  רמזי חדיד</DecisionName>
    <CourtDisplayName>בית משפט השלום בחיפה</CourtDisplayName>
    <IsCaseJudgePanel>false</IsCaseJudgePanel>
    <DecisionSignatureDate>2023-08-10T10:34:44.9240344+03:00</DecisionSignatureDate>
    <OpenCaseDate>2021-02-24T11:10:00+02:00</OpenCaseDate>
    <CaseFeeSum>35312.000</CaseFeeSum>
    <DecisionTypeID>2</DecisionTypeID>
    <DecisionSignatureUserName>רמזי חדיד</DecisionSignatureUserName>
    <DecisionSignatureDateHebrew>2023-08-10T10:34:44.9240344+03:00</DecisionSignatureDateHebrew>
    <DecisionWriterID>059352013@GOV.IL</DecisionWriterID>
    <CourtAddress>רח' פלי"ם 12 היכל המשפט, חיפה 33095</CourtAddress>
    <IsAutoTextInCaseExist>false</IsAutoTextInCaseExist>
    <DecisionSignatureRoleName>שופט</DecisionSignatureRoleName>
    <DecisionSignatureUserTitleName>שופט בכיר</DecisionSignatureUserTitleName>
    <CaseName>שריג נ' בנק דיסקונט לישראל בעמ</CaseName>
    <DecisionNumberInCase>3</DecisionNumberInCase>
  </dt_Decision>
  <dt_DecisionCase>
    <DecisionID>0</DecisionID>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קיירה</FullName>
        <FirstName>משה</FirstName>
        <LastName>קיירה</LastName>
        <PartyPropertyName/>
        <AuthenticationTypeAndNumber>מ.ר. 34799</AuthenticationTypeAndNumber>
        <RepresentatedOrRepresentativesNames xml:space="preserve"> </RepresentatedOrRepresentativesNames>
        <RepresentatedOrRepresentativesCount>1</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230609446</CasePartyID>
        <PartyTypeID>2</PartyTypeID>
        <ActivityStatusID>1</ActivityStatusID>
        <PartyAliasID>21</PartyAliasID>
        <PartyAliasName>בא כוח נתבעים</PartyAliasName>
        <LegalEntityID>409135</LegalEntityID>
        <CaseLegalEntityID>116601438</CaseLegalEntityID>
        <AuthenticationTypeID>4</AuthenticationTypeID>
        <AuthenticationTypeName>מ.ר.</AuthenticationTypeName>
        <LegalEntityNumber>34799</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מצדה 7 קומה 28 בני ברק </FullAddress>
        <EmailAddress>office@kaya-law.com</EmailAddress>
        <MotionID>0</MotionID>
        <CasePleaID>0</CasePleaID>
        <FatherName xml:space="preserve">        </FatherName>
        <LinkedCaseID>0</LinkedCaseID>
        <PartyID>2</PartyID>
        <CasePartyCategoryID>2</CasePartyCategoryID>
        <LegalEntityAddressID>85989899</LegalEntityAddressID>
        <LegalEntityEmailAddressID>68157267</LegalEntityEmailAddressID>
        <PleaTypeID>4</PleaTypeID>
        <LawyerOfficeName>משרד עו"ד: קיירה-יהלומי</LawyerOfficeName>
        <LawyerOfficeID>449779</LawyerOfficeID>
        <GroupPartyAlias/>
        <IsConverted>false</IsConverted>
        <LegalEntityNameID>30119</LegalEntityNameID>
        <RepresentatedNamesOfAssistant/>
        <LegalEntityTypeID>4</LegalEntityTypeID>
        <IsVerdictExists>false</IsVerdictExists>
        <IsAsirAzir>false</IsAsirAzir>
        <IsPublicationProhibited>false</IsPublicationProhibited>
        <PublicationProhibitedFullName>משה קיירה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יהודה פלק</FullName>
        <FirstName>יהודה</FirstName>
        <LastName>פלק</LastName>
        <PartyPropertyName/>
        <AuthenticationTypeAndNumber>מ.ר. 5573</AuthenticationTypeAndNumber>
        <RepresentatedOrRepresentativesNames>בנימין שריג</RepresentatedOrRepresentativesNames>
        <RepresentatedOrRepresentativesCount>1</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223269385</CasePartyID>
        <PartyTypeID>2</PartyTypeID>
        <ActivityStatusID>1</ActivityStatusID>
        <PartyAliasID>20</PartyAliasID>
        <PartyAliasName>בא כוח תובעים</PartyAliasName>
        <OrdinalNumber>1</OrdinalNumber>
        <LegalEntityID>387027</LegalEntityID>
        <CaseLegalEntityID>114372929</CaseLegalEntityID>
        <AuthenticationTypeID>4</AuthenticationTypeID>
        <AuthenticationTypeName>מ.ר.</AuthenticationTypeName>
        <LegalEntityNumber>5573</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העצמאות 118 חיפה </FullAddress>
        <MotionID>0</MotionID>
        <CasePleaID>0</CasePleaID>
        <FatherName xml:space="preserve">        </FatherName>
        <LinkedCaseID>0</LinkedCaseID>
        <PartyID>1</PartyID>
        <CasePartyCategoryID>2</CasePartyCategoryID>
        <LegalEntityAddressID>70844749</LegalEntityAddressID>
        <PleaTypeID>4</PleaTypeID>
        <LawyerOfficeName>משרד עו"ד: יהודה פלק</LawyerOfficeName>
        <LawyerOfficeID>427671</LawyerOfficeID>
        <GroupPartyAlias/>
        <IsConverted>false</IsConverted>
        <LegalEntityNameID>8011</LegalEntityNameID>
        <RepresentatedNamesOfAssistant/>
        <LegalEntityTypeID>4</LegalEntityTypeID>
        <IsVerdictExists>false</IsVerdictExists>
        <IsAsirAzir>false</IsAsirAzir>
        <IsPublicationProhibited>false</IsPublicationProhibited>
        <PublicationProhibitedFullName>יהודה פלק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בנימין שריג</FullName>
        <FirstName>בנימין</FirstName>
        <LastName>שריג</LastName>
        <PartyPropertyName/>
        <AuthenticationTypeAndNumber>ת"ז 050097153</AuthenticationTypeAndNumber>
        <RepresentatedOrRepresentativesNames>יהודה פלק</RepresentatedOrRepresentativesNames>
        <RepresentatedOrRepresentativesCount>1</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223269384</CasePartyID>
        <PartyTypeID>1</PartyTypeID>
        <ActivityStatusID>1</ActivityStatusID>
        <PartyAliasID>1</PartyAliasID>
        <PartyAliasName>תובע</PartyAliasName>
        <OrdinalNumber>1</OrdinalNumber>
        <LegalEntityID>12741557</LegalEntityID>
        <CaseLegalEntityID>114372928</CaseLegalEntityID>
        <AuthenticationTypeID>1</AuthenticationTypeID>
        <AuthenticationTypeName>ת"ז</AuthenticationTypeName>
        <LegalEntityNumber>050097153</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הדגניות 24 קריית טבעון </FullAddress>
        <MotionID>0</MotionID>
        <CasePleaID>0</CasePleaID>
        <BirthDate>1950-07-08T00:00:00+03:00</BirthDate>
        <FatherName>חיים    </FatherName>
        <LinkedCaseID>0</LinkedCaseID>
        <PartyID>1</PartyID>
        <CasePartyCategoryID>2</CasePartyCategoryID>
        <LegalEntityAddressID>84908121</LegalEntityAddressID>
        <DrivingLicenseNumber>803588</DrivingLicenseNumber>
        <PleaTypeID>4</PleaTypeID>
        <GroupPartyAlias>תובעים</GroupPartyAlias>
        <IsConverted>false</IsConverted>
        <LegalEntityRegisteredNameID>487651</LegalEntityRegisteredNameID>
        <LegalEntityNameID>91003718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בנימין שריג</PublicationProhibitedFullName>
      </CaseParties>
      <CaseParties>
        <PartyTypeName>בא כוח</PartyTypeName>
        <ProceedingType>כתב טענות עיקרי</ProceedingType>
        <PleaName>כתב תביעה</PleaName>
        <PartyBelonging> - </PartyBelonging>
        <IsSubProceeding>FALSE</IsSubProceeding>
        <FullName>שלומית ישורון סוניס</FullName>
        <FirstName>שלומית</FirstName>
        <LastName>ישורון סוניס</LastName>
        <PartyPropertyName/>
        <AuthenticationTypeAndNumber>מ.ר. 28461</AuthenticationTypeAndNumber>
        <RepresentatedOrRepresentativesNames/>
        <RepresentatedOrRepresentativesCount>0</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224937066</CasePartyID>
        <PartyTypeID>2</PartyTypeID>
        <ActivityStatusID>1</ActivityStatusID>
        <OrdinalNumber>1</OrdinalNumber>
        <LegalEntityID>391301</LegalEntityID>
        <CaseLegalEntityID>114853232</CaseLegalEntityID>
        <AuthenticationTypeID>4</AuthenticationTypeID>
        <AuthenticationTypeName>מ.ר.</AuthenticationTypeName>
        <LegalEntityNumber>28461</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
        <MotionID>0</MotionID>
        <CasePleaID>0</CasePleaID>
        <LinkedCaseID>0</LinkedCaseID>
        <PartyID>2</PartyID>
        <CasePartyCategoryID>2</CasePartyCategoryID>
        <PleaTypeID>4</PleaTypeID>
        <LawyerOfficeName>שלומית ישורון סוניס</LawyerOfficeName>
        <LawyerOfficeID>12719528</LawyerOfficeID>
        <GroupPartyAlias/>
        <IsConverted>false</IsConverted>
        <LegalEntityNameID>12285</LegalEntityNameID>
        <RepresentatedNamesOfAssistant/>
        <LegalEntityTypeID>4</LegalEntityTypeID>
        <IsVerdictExists>false</IsVerdictExists>
        <IsAsirAzir>false</IsAsirAzir>
        <IsPublicationProhibited>false</IsPublicationProhibited>
        <PublicationProhibitedFullName>שלומית ישורון סוניס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בנק דיסקונט לישראל בעמ</FullName>
        <LastName>בנק דיסקונט לישראל בעמ</LastName>
        <PartyPropertyName/>
        <AuthenticationTypeAndNumber>חברות 520007030</AuthenticationTypeAndNumber>
        <RepresentatedOrRepresentativesNames>משה קיירה</RepresentatedOrRepresentativesNames>
        <RepresentatedOrRepresentativesCount>1</RepresentatedOrRepresentativesCount>
        <InvitedBy/>
        <CaseID>78137290</CaseID>
        <CaseJudicialPersonPresentationDS>
          <CaseJudicalPersonActive>
            <CaseID>78137290</CaseID>
            <JudicialPersonID>059352013@GOV.IL</JudicialPersonID>
            <JudicialPersonTypeID>1</JudicialPersonTypeID>
            <JudicialTypeID>1</JudicialTypeID>
            <IsChairman>false</IsChairman>
            <TreatmentStartDate>2021-05-25T10:41:00.137+03:00</TreatmentStartDate>
            <TreatmentFinishDate>9999-12-31T23:59:59.997+02:00</TreatmentFinishDate>
            <IdentificationCardNumber>059352013</IdentificationCardNumber>
            <DisplayName>רמזי חדיד</DisplayName>
            <JudicialTypeName>שופט</JudicialTypeName>
            <CaseJudicialGroupNumber>0</CaseJudicialGroupNumber>
            <FirstName>רמזי</FirstName>
            <LastName>חדיד</LastName>
            <JudicialPersonTitle>שופט</JudicialPersonTitle>
          </CaseJudicalPersonActive>
        </CaseJudicialPersonPresentationDS>
        <CasePartyID>223269386</CasePartyID>
        <PartyTypeID>1</PartyTypeID>
        <ActivityStatusID>1</ActivityStatusID>
        <PartyAliasID>2</PartyAliasID>
        <PartyAliasName>נתבע</PartyAliasName>
        <OrdinalNumber>1</OrdinalNumber>
        <LegalEntityID>71656949</LegalEntityID>
        <CaseLegalEntityID>114372930</CaseLegalEntityID>
        <AuthenticationTypeID>3</AuthenticationTypeID>
        <AuthenticationTypeName>חברות</AuthenticationTypeName>
        <LegalEntityNumber>520007030</LegalEntityNumber>
        <IsMainPartyType>true</IsMainPartyType>
        <CaseDisplayIdentifier>52996-02-21</CaseDisplayIdentifier>
        <CaseTypeID>10316</CaseTypeID>
        <CaseTypeName>תיק אזרחי דיון מהיר (תאד"מ)</CaseTypeName>
        <CaseName>שריג נ' בנק דיסקונט לישראל בעמ</CaseName>
        <FullAddress>שד' הנשיא 124 חיפה </FullAddress>
        <MotionID>0</MotionID>
        <CasePleaID>0</CasePleaID>
        <LinkedCaseID>0</LinkedCaseID>
        <PartyID>2</PartyID>
        <CasePartyCategoryID>2</CasePartyCategoryID>
        <LegalEntityAddressID>84908120</LegalEntityAddressID>
        <PleaTypeID>4</PleaTypeID>
        <GroupPartyAlias>נתבעים</GroupPartyAlias>
        <IsConverted>false</IsConverted>
        <LegalEntityRegisteredNameID>3365090</LegalEntityRegisteredNameID>
        <RepresentatedNamesOfAssistant/>
        <LegalEntityTypeID>3</LegalEntityTypeID>
        <IsVerdictExists>false</IsVerdictExists>
        <IsAsirAzir>false</IsAsirAzir>
        <IsPublicationProhibited>false</IsPublicationProhibited>
        <PublicationProhibitedFullName>בנק דיסקונט לישראל בעמ</PublicationProhibitedFullName>
      </CaseParties>
    </CasePartiesSelectionDS>
    <CaseName>שריג נ' בנק דיסקונט לישראל בעמ</CaseName>
    <CaseDisplayIdentifier>52996-02-21</CaseDisplayIdentifier>
    <CaseInterestID>41</CaseInterestID>
    <CaseTypeShortName>תאד"מ</CaseTypeShortName>
  </dt_DecisionCase>
  <dt_DecisionJudgePanel>
    <JudgeID>059352013@GOV.IL</JudgeID>
    <DisplayName>רמזי חדיד</DisplayName>
    <RoleName>שופט</RoleName>
    <UserTitleName>שופט בכיר</UserTitleName>
  </dt_DecisionJudgePanel>
  <dt_LegalEntityDetails>
    <Fax>03-6962008</Fax>
    <Phone>03-6962005</Phone>
    <PartyID>2</PartyID>
    <PartyTypeID>2</PartyTypeID>
    <DecisionID>0</DecisionID>
    <StreetName>מצדה 7 קומה 28</StreetName>
    <ZipCode>5126112</ZipCode>
    <CityName>בני ברק</CityName>
    <FullName>משה קיירה</FullName>
    <Email>office@kaya-law.com</Email>
    <IsPublicationProhibited>false</IsPublicationProhibited>
  </dt_LegalEntityDetails>
  <dt_LegalEntityDetails>
    <PartyID>1</PartyID>
    <PartyTypeID>1</PartyTypeID>
    <DecisionID>0</DecisionID>
    <StreetName>הדגניות 24</StreetName>
    <CityName>קריית טבעון</CityName>
    <FullName>בנימין שריג</FullName>
    <IsPublicationProhibited>false</IsPublicationProhibited>
  </dt_LegalEntityDetails>
  <dt_LegalEntityDetails>
    <Fax>04-8626050</Fax>
    <Phone>04-8677060</Phone>
    <PartyID>1</PartyID>
    <PartyTypeID>2</PartyTypeID>
    <DecisionID>0</DecisionID>
    <StreetName>העצמאות 118</StreetName>
    <ZipCode>33411</ZipCode>
    <CityName>חיפה</CityName>
    <FullName>יהודה פלק</FullName>
    <IsPublicationProhibited>false</IsPublicationProhibited>
  </dt_LegalEntityDetails>
  <dt_LegalEntityDetails>
    <PartyID>2</PartyID>
    <PartyTypeID>1</PartyTypeID>
    <DecisionID>0</DecisionID>
    <StreetName>שד' הנשיא 124</StreetName>
    <CityName>חיפה</CityName>
    <FullName> בנק דיסקונט לישראל בעמ</FullName>
    <IsPublicationProhibited>false</IsPublicationProhibited>
  </dt_LegalEntityDetails>
  <dt_LegalEntityDetails>
    <PartyID>2</PartyID>
    <PartyTypeID>2</PartyTypeID>
    <DecisionID>0</DecisionID>
    <FullName>שלומית ישורון סוניס</FullName>
    <IsPublicationProhibited>false</IsPublicationProhibited>
  </dt_LegalEntityDetails>
  <dt_CaseJudicalPersonActive>
    <CaseJudicalPerson>שופט בכיר רמזי חדיד</CaseJudicalPerson>
  </dt_CaseJudicalPersonActive>
  <dt_Sitting>
    <PreviousMeetingDate>2022-10-20T09:00:00+03:00</PreviousMeetingDate>
    <PreviousSittingTypeID>2</PreviousSittingTypeID>
    <PreviousMeetingDisplayName>שופט בכיר רמזי חדיד</PreviousMeetingDisplayName>
    <PreviousMeetingRoleName>שופט</PreviousMeetingRoleName>
    <PreviousMeetingUserTitleName>שופט בכיר</PreviousMeetingUserTitleName>
    <PreviousMeetingUserUPN>059352013@GOV.IL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A90D1-140D-4751-AAE9-01A98B13EAA1}">
  <ds:schemaRefs/>
</ds:datastoreItem>
</file>

<file path=customXml/itemProps2.xml><?xml version="1.0" encoding="utf-8"?>
<ds:datastoreItem xmlns:ds="http://schemas.openxmlformats.org/officeDocument/2006/customXml" ds:itemID="{7FB7D9B6-01AE-47E6-B38C-23DDEF15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5002</Words>
  <Characters>25013</Characters>
  <Application>Microsoft Office Word</Application>
  <DocSecurity>4</DocSecurity>
  <Lines>208</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2023-08-13T15:20:00Z</dcterms:created>
  <dcterms:modified xsi:type="dcterms:W3CDTF">2023-08-13T15:20:00Z</dcterms:modified>
</cp:coreProperties>
</file>